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6B86" w14:textId="5A0E4C6E" w:rsidR="00650150" w:rsidRDefault="00650150" w:rsidP="00650150">
      <w:pPr>
        <w:spacing w:line="360" w:lineRule="auto"/>
        <w:jc w:val="center"/>
        <w:rPr>
          <w:rFonts w:ascii="宋体" w:hAnsi="宋体"/>
          <w:b/>
          <w:bCs/>
          <w:color w:val="000000"/>
          <w:sz w:val="24"/>
        </w:rPr>
      </w:pPr>
      <w:r w:rsidRPr="00650150">
        <w:rPr>
          <w:rFonts w:ascii="宋体" w:hAnsi="宋体" w:hint="eastAsia"/>
          <w:b/>
          <w:bCs/>
          <w:color w:val="000000"/>
          <w:sz w:val="24"/>
        </w:rPr>
        <w:t>培训课程大纲</w:t>
      </w:r>
    </w:p>
    <w:p w14:paraId="46C43746" w14:textId="77777777" w:rsidR="00650150" w:rsidRPr="00650150" w:rsidRDefault="00650150" w:rsidP="00650150">
      <w:pPr>
        <w:spacing w:line="360" w:lineRule="auto"/>
        <w:jc w:val="center"/>
        <w:rPr>
          <w:rFonts w:ascii="宋体" w:hAnsi="宋体" w:hint="eastAsia"/>
          <w:b/>
          <w:bCs/>
          <w:color w:val="000000"/>
          <w:sz w:val="24"/>
        </w:rPr>
      </w:pPr>
    </w:p>
    <w:p w14:paraId="2F6AF2C4" w14:textId="1A9A09B0" w:rsidR="00440790" w:rsidRDefault="00440790" w:rsidP="0044079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（一）工业企业“小升规”后的税务管理的总体原则</w:t>
      </w:r>
    </w:p>
    <w:p w14:paraId="34F01961" w14:textId="77777777" w:rsidR="00440790" w:rsidRDefault="00440790" w:rsidP="00440790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（二）规模以上工业企业税务管理体系构建</w:t>
      </w:r>
    </w:p>
    <w:p w14:paraId="7A0A5F59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1、生产经营层面税务管理</w:t>
      </w:r>
    </w:p>
    <w:p w14:paraId="7AF8D39D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1.1采购环节</w:t>
      </w:r>
    </w:p>
    <w:p w14:paraId="36DB18A9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1.2研发环节</w:t>
      </w:r>
    </w:p>
    <w:p w14:paraId="0E4DD128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1.3生产环节</w:t>
      </w:r>
    </w:p>
    <w:p w14:paraId="5A5DA320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1.4销售环节</w:t>
      </w:r>
    </w:p>
    <w:p w14:paraId="5547FA49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2、投融资层面税务管理</w:t>
      </w:r>
    </w:p>
    <w:p w14:paraId="45599F6E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2.1投资环节</w:t>
      </w:r>
    </w:p>
    <w:p w14:paraId="1A4621CB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2.2筹资环节</w:t>
      </w:r>
    </w:p>
    <w:p w14:paraId="0F8B32A1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2.3收益分配环节</w:t>
      </w:r>
    </w:p>
    <w:p w14:paraId="6A2201B5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3、战略规划层面税务管理</w:t>
      </w:r>
    </w:p>
    <w:p w14:paraId="35A877F0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3.1股权结构优化</w:t>
      </w:r>
    </w:p>
    <w:p w14:paraId="1B0DFD58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3.2交易结构优化</w:t>
      </w:r>
    </w:p>
    <w:p w14:paraId="02BCD391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3.3股权激励</w:t>
      </w:r>
    </w:p>
    <w:p w14:paraId="210D16CD" w14:textId="77777777" w:rsidR="00440790" w:rsidRDefault="00440790" w:rsidP="00440790">
      <w:pPr>
        <w:spacing w:line="360" w:lineRule="auto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3.4 IPO税务规划</w:t>
      </w:r>
    </w:p>
    <w:p w14:paraId="0E308800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4、税务信息化管理</w:t>
      </w:r>
    </w:p>
    <w:p w14:paraId="76DE2417" w14:textId="77777777" w:rsidR="00440790" w:rsidRDefault="00440790" w:rsidP="00440790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（三）规模以上工业企业重点税收优惠政策介绍</w:t>
      </w:r>
    </w:p>
    <w:p w14:paraId="431B7A1F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1、增值税留抵退税政策</w:t>
      </w:r>
    </w:p>
    <w:p w14:paraId="1028C32B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2、固定资产加速折旧政策</w:t>
      </w:r>
    </w:p>
    <w:p w14:paraId="06D3FC2D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3、研发费用加计扣除政策</w:t>
      </w:r>
    </w:p>
    <w:p w14:paraId="0D7DFCA1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4、高新技术企业优惠政策</w:t>
      </w:r>
    </w:p>
    <w:p w14:paraId="35515B65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5、小型微利企业优惠政策</w:t>
      </w:r>
    </w:p>
    <w:p w14:paraId="0D2C004B" w14:textId="77777777" w:rsidR="00440790" w:rsidRDefault="00440790" w:rsidP="0044079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6、政府补助不征税政策</w:t>
      </w:r>
    </w:p>
    <w:p w14:paraId="221DE005" w14:textId="77777777" w:rsidR="00FA0957" w:rsidRDefault="00FA0957"/>
    <w:sectPr w:rsidR="00FA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02"/>
    <w:rsid w:val="00276A02"/>
    <w:rsid w:val="00440790"/>
    <w:rsid w:val="00650150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D585"/>
  <w15:chartTrackingRefBased/>
  <w15:docId w15:val="{E8F4681B-C3CC-4B94-B767-BBB17FE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</dc:creator>
  <cp:keywords/>
  <dc:description/>
  <cp:lastModifiedBy>Queen</cp:lastModifiedBy>
  <cp:revision>3</cp:revision>
  <dcterms:created xsi:type="dcterms:W3CDTF">2023-06-01T03:26:00Z</dcterms:created>
  <dcterms:modified xsi:type="dcterms:W3CDTF">2023-06-01T03:26:00Z</dcterms:modified>
</cp:coreProperties>
</file>