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0F29" w14:textId="27380249" w:rsidR="00461F3C" w:rsidRPr="00F70DA6" w:rsidRDefault="00C92FBE" w:rsidP="00461F3C">
      <w:pPr>
        <w:spacing w:beforeLines="50" w:before="156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</w:t>
      </w:r>
      <w:r w:rsidR="00F70DA6" w:rsidRPr="00F70DA6">
        <w:rPr>
          <w:rFonts w:ascii="宋体" w:hAnsi="宋体" w:hint="eastAsia"/>
          <w:b/>
          <w:color w:val="000000"/>
          <w:sz w:val="28"/>
          <w:szCs w:val="28"/>
        </w:rPr>
        <w:t>：</w:t>
      </w:r>
      <w:r>
        <w:rPr>
          <w:rFonts w:ascii="宋体" w:hAnsi="宋体" w:hint="eastAsia"/>
          <w:b/>
          <w:color w:val="000000"/>
          <w:sz w:val="28"/>
          <w:szCs w:val="28"/>
        </w:rPr>
        <w:t>培训</w:t>
      </w:r>
      <w:r w:rsidR="00F70DA6" w:rsidRPr="00F70DA6">
        <w:rPr>
          <w:rFonts w:ascii="宋体" w:hAnsi="宋体" w:hint="eastAsia"/>
          <w:b/>
          <w:color w:val="000000"/>
          <w:sz w:val="28"/>
          <w:szCs w:val="28"/>
        </w:rPr>
        <w:t>讲师信息</w:t>
      </w:r>
      <w:bookmarkStart w:id="0" w:name="_GoBack"/>
      <w:bookmarkEnd w:id="0"/>
    </w:p>
    <w:p w14:paraId="11148A3D" w14:textId="6B5E6D5E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iCs/>
          <w:sz w:val="24"/>
        </w:rPr>
      </w:pPr>
      <w:r w:rsidRPr="00461F3C">
        <w:rPr>
          <w:rFonts w:ascii="宋体" w:hAnsi="宋体" w:cs="Arial"/>
          <w:b/>
          <w:bCs/>
          <w:iCs/>
          <w:sz w:val="24"/>
        </w:rPr>
        <w:t>欧阳华昌</w:t>
      </w:r>
    </w:p>
    <w:p w14:paraId="7B657F1E" w14:textId="10DF263E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  <w:r w:rsidRPr="00461F3C">
        <w:rPr>
          <w:rFonts w:ascii="宋体" w:hAnsi="宋体" w:cs="Arial" w:hint="eastAsia"/>
          <w:b/>
          <w:bCs/>
          <w:color w:val="000000"/>
          <w:sz w:val="24"/>
        </w:rPr>
        <w:t>【教育背景与资质认证】</w:t>
      </w:r>
    </w:p>
    <w:p w14:paraId="7FCA8F84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深圳华昊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联合企业管理顾问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有限公司 总经理 首席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顾问师</w:t>
      </w:r>
    </w:p>
    <w:p w14:paraId="18F0B145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深圳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三星视界（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韩国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）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有限公司  制造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部长</w:t>
      </w:r>
    </w:p>
    <w:p w14:paraId="64CD5059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韩国三星总部Six sigma BB认证（SAMSUNG 6SIGMA管理学院）</w:t>
      </w:r>
    </w:p>
    <w:p w14:paraId="33904D96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TPM（全员生产保全）专家（韩国）</w:t>
      </w:r>
    </w:p>
    <w:p w14:paraId="41FD3282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精益生产（Lean）专家</w:t>
      </w:r>
    </w:p>
    <w:p w14:paraId="298775DA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三星中国本部（华南地区）专家级讲师</w:t>
      </w:r>
    </w:p>
    <w:p w14:paraId="4CC0F0C1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 xml:space="preserve">光华管理学院MBA </w:t>
      </w:r>
    </w:p>
    <w:p w14:paraId="20E0FDAC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2011年华尊奖 — 中国管理咨询界最受尊敬时代创新人物</w:t>
      </w:r>
    </w:p>
    <w:p w14:paraId="727075FD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hint="eastAsia"/>
          <w:color w:val="000000"/>
          <w:sz w:val="24"/>
          <w:szCs w:val="24"/>
        </w:rPr>
        <w:t>国际创新</w:t>
      </w:r>
      <w:r w:rsidRPr="00461F3C">
        <w:rPr>
          <w:rFonts w:ascii="宋体" w:eastAsia="宋体" w:hAnsi="宋体"/>
          <w:color w:val="000000"/>
          <w:sz w:val="24"/>
          <w:szCs w:val="24"/>
        </w:rPr>
        <w:t>方法学会永久专家会员</w:t>
      </w:r>
    </w:p>
    <w:p w14:paraId="6C67A536" w14:textId="77777777" w:rsid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</w:p>
    <w:p w14:paraId="17EA91C9" w14:textId="1BECB34D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  <w:r w:rsidRPr="00461F3C">
        <w:rPr>
          <w:rFonts w:ascii="宋体" w:hAnsi="宋体" w:cs="Arial" w:hint="eastAsia"/>
          <w:b/>
          <w:bCs/>
          <w:color w:val="000000"/>
          <w:sz w:val="24"/>
        </w:rPr>
        <w:t>【优势专长】</w:t>
      </w:r>
    </w:p>
    <w:p w14:paraId="1CE7978D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韩国三星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精益生产、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6Sigma研究推进专员，三星中国本部（华南地区）专家级讲师，深圳三星（韩国）视界有限公司 制造部长；</w:t>
      </w:r>
    </w:p>
    <w:p w14:paraId="7BADB34B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2011年华尊奖 — 中国管理咨询界最受尊敬时代创新人物；</w:t>
      </w:r>
    </w:p>
    <w:p w14:paraId="51C4317E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20年工程/质量实践和管理经验，其中12年从事实施6 Sigma/精益项目和其他改善活动</w:t>
      </w:r>
    </w:p>
    <w:p w14:paraId="6EAB8251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10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年的精益/六西格玛项目实施经验，曾为亚洲多家知名企业及国际化集团公司导入精益改善/六西格玛项目，培训精益推进专员超过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1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500名，辅导企业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30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0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多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家，帮助企业取得了超过数亿美元的财务收益；</w:t>
      </w:r>
    </w:p>
    <w:p w14:paraId="44B34B92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擅长精益策划、战略实施、变革管理/六西格玛与企业持续改进系统的建立；</w:t>
      </w:r>
    </w:p>
    <w:p w14:paraId="2D66FA7B" w14:textId="4425E4E6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能够有效激励团队实施突破性改善，提升团队成员领导力。</w:t>
      </w:r>
    </w:p>
    <w:p w14:paraId="7CCB34D3" w14:textId="77777777" w:rsidR="00461F3C" w:rsidRPr="00461F3C" w:rsidRDefault="00461F3C" w:rsidP="00461F3C">
      <w:pPr>
        <w:pStyle w:val="a5"/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62A3FD60" w14:textId="77777777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  <w:r w:rsidRPr="00461F3C">
        <w:rPr>
          <w:rFonts w:ascii="宋体" w:hAnsi="宋体" w:cs="Arial" w:hint="eastAsia"/>
          <w:b/>
          <w:bCs/>
          <w:color w:val="000000"/>
          <w:sz w:val="24"/>
        </w:rPr>
        <w:t>【</w:t>
      </w:r>
      <w:r w:rsidRPr="00461F3C">
        <w:rPr>
          <w:rFonts w:ascii="宋体" w:hAnsi="宋体" w:cs="Arial"/>
          <w:b/>
          <w:bCs/>
          <w:color w:val="000000"/>
          <w:sz w:val="24"/>
        </w:rPr>
        <w:t>工作经历</w:t>
      </w:r>
      <w:r w:rsidRPr="00461F3C">
        <w:rPr>
          <w:rFonts w:ascii="宋体" w:hAnsi="宋体" w:cs="Arial" w:hint="eastAsia"/>
          <w:b/>
          <w:bCs/>
          <w:color w:val="000000"/>
          <w:sz w:val="24"/>
        </w:rPr>
        <w:t>】</w:t>
      </w:r>
    </w:p>
    <w:p w14:paraId="483C2AA9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在企业生产管理系统上有20年的工作经验，曾任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深圳三星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6Sigma推进部长、制造部长等职位，擅长企业生产管理系统的系列革新活动；包括：卓越现场管理系列（5S/6S) ，精益生产系列（JIT）， 全面设备管理系列（TPM），综合战略革新系列（TPI) ， 绩效管理系列 (PMS) ，极限挑战系列（Dream Time) ，全面质量改善系列（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SQM/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6Sigma)的辅导与策划等领域有丰富的实践经验与成功案例；推进现场改善实战经验丰富；</w:t>
      </w:r>
    </w:p>
    <w:p w14:paraId="473D669E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韩国三星（深圳）视界有限公司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工作12年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，曾任革新运营部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6SIGMA首任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lastRenderedPageBreak/>
        <w:t>推进长，制造部长，将工厂从初期建设到成为世界一流企业的重要成员之一；全面导入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5S、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TPM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JIT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标准品质生产方式等改善工具，全面负责主持生产部门业务；</w:t>
      </w:r>
    </w:p>
    <w:p w14:paraId="19969158" w14:textId="1AB68ABA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作为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深圳华昊联合企业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管理顾问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公司首席顾问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，担任5S、TPM、精益生产、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精益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品质、精益Six Sigma的顾问工作，凭借多年的项目实施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和项目管理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经验，帮助企业取得了超过数十亿美元的财务收益</w:t>
      </w:r>
    </w:p>
    <w:p w14:paraId="67F4AFA6" w14:textId="77777777" w:rsidR="00461F3C" w:rsidRPr="00461F3C" w:rsidRDefault="00461F3C" w:rsidP="00461F3C">
      <w:pPr>
        <w:pStyle w:val="a5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40529D8F" w14:textId="77777777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  <w:r w:rsidRPr="00461F3C">
        <w:rPr>
          <w:rFonts w:ascii="宋体" w:hAnsi="宋体" w:cs="Arial" w:hint="eastAsia"/>
          <w:b/>
          <w:bCs/>
          <w:color w:val="000000"/>
          <w:sz w:val="24"/>
        </w:rPr>
        <w:t>【</w:t>
      </w:r>
      <w:r w:rsidRPr="00461F3C">
        <w:rPr>
          <w:rFonts w:ascii="宋体" w:hAnsi="宋体" w:cs="Arial"/>
          <w:b/>
          <w:bCs/>
          <w:color w:val="000000"/>
          <w:sz w:val="24"/>
        </w:rPr>
        <w:t>主要成就</w:t>
      </w:r>
      <w:r w:rsidRPr="00461F3C">
        <w:rPr>
          <w:rFonts w:ascii="宋体" w:hAnsi="宋体" w:cs="Arial" w:hint="eastAsia"/>
          <w:b/>
          <w:bCs/>
          <w:color w:val="000000"/>
          <w:sz w:val="24"/>
        </w:rPr>
        <w:t>】</w:t>
      </w:r>
    </w:p>
    <w:p w14:paraId="3C734074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服务过的客户：比亚迪、公牛集团、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华润三九、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华润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润双鹤、上海医药、正大天晴药业、马应龙药业、齐鲁制药、金洲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管道、迈克管道、、神华集团、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国华电力、唐人神集团、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海信集团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福耀集团、创维集团、新航集团、汕头超声集团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长虹集团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、华润怡宝、华润万家、华润电力、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普林电路、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爱升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电路、南都电源、凯金新能源、豫北机械、科隆集团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美佳电机、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扬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杰科技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、超威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电池、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中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环光伏、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宝明光电、瀚达美光电、通常光电、赢新光电、内蒙健隆化工、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河池化工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常州波林化工、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华腾半导体、星欣磊机械、鸿泰门窗、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常熟亿通、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唐山钢铁、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济南钢铁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、南钢、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昆钢重装、华通线缆、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科瑞德电缆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东莞凯欣、广州邦普、珠海特艺、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黄山永新、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青州包装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、浙江鹏远、天源纸业、黄山精工、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红塔集团、湛江卷烟、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阜阳卷烟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常州兰翔、江苏新誉、江苏光王电子、协鑫硅业、常州润源、常州富通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京华激光、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玉柴动力、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恒义汽配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、帝景纺织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等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30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0多家企业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。</w:t>
      </w:r>
    </w:p>
    <w:p w14:paraId="2C7C8340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做为项目组核心顾问，对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超声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（PCB）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的4年辅导，系统地建立了企业的经营革新体系，成功推进6S/TPM/JIT/6SIGMA，每年为企业增收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12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00多万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元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；</w:t>
      </w:r>
    </w:p>
    <w:p w14:paraId="3FC3F150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华润三九药业、华润双鹤医药成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为国内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医药行业的标杆工厂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，通过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LTPM活动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，每年为企业创造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2000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多万元；</w:t>
      </w:r>
    </w:p>
    <w:p w14:paraId="5B0D5357" w14:textId="77777777" w:rsidR="00461F3C" w:rsidRPr="00461F3C" w:rsidRDefault="00461F3C" w:rsidP="00461F3C">
      <w:pPr>
        <w:pStyle w:val="a5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浙江台佳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电子通过华昊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3.5年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的辅导，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企业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利润翻翻，成为浙江政府指定的民营企业学习标杆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。</w:t>
      </w:r>
    </w:p>
    <w:p w14:paraId="6898D946" w14:textId="77777777" w:rsidR="00A273D6" w:rsidRPr="00461F3C" w:rsidRDefault="00A273D6"/>
    <w:sectPr w:rsidR="00A273D6" w:rsidRPr="0046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636A9" w14:textId="77777777" w:rsidR="00CD61CF" w:rsidRDefault="00CD61CF" w:rsidP="00461F3C">
      <w:r>
        <w:separator/>
      </w:r>
    </w:p>
  </w:endnote>
  <w:endnote w:type="continuationSeparator" w:id="0">
    <w:p w14:paraId="7576C656" w14:textId="77777777" w:rsidR="00CD61CF" w:rsidRDefault="00CD61CF" w:rsidP="004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47DA1" w14:textId="77777777" w:rsidR="00CD61CF" w:rsidRDefault="00CD61CF" w:rsidP="00461F3C">
      <w:r>
        <w:separator/>
      </w:r>
    </w:p>
  </w:footnote>
  <w:footnote w:type="continuationSeparator" w:id="0">
    <w:p w14:paraId="43A07B11" w14:textId="77777777" w:rsidR="00CD61CF" w:rsidRDefault="00CD61CF" w:rsidP="0046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4F3"/>
    <w:multiLevelType w:val="hybridMultilevel"/>
    <w:tmpl w:val="CA84B7F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7B"/>
    <w:rsid w:val="00412738"/>
    <w:rsid w:val="00461F3C"/>
    <w:rsid w:val="00721345"/>
    <w:rsid w:val="00A273D6"/>
    <w:rsid w:val="00BA69AD"/>
    <w:rsid w:val="00C92FBE"/>
    <w:rsid w:val="00CD61CF"/>
    <w:rsid w:val="00D34C7B"/>
    <w:rsid w:val="00EB7011"/>
    <w:rsid w:val="00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B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F3C"/>
    <w:rPr>
      <w:sz w:val="18"/>
      <w:szCs w:val="18"/>
    </w:rPr>
  </w:style>
  <w:style w:type="paragraph" w:styleId="a5">
    <w:name w:val="Body Text"/>
    <w:basedOn w:val="a"/>
    <w:link w:val="Char1"/>
    <w:uiPriority w:val="99"/>
    <w:rsid w:val="00461F3C"/>
    <w:pPr>
      <w:spacing w:after="120"/>
      <w:jc w:val="left"/>
    </w:pPr>
    <w:rPr>
      <w:rFonts w:ascii="Comic Sans MS" w:eastAsia="PMingLiU" w:hAnsi="Comic Sans MS"/>
      <w:color w:val="0000FF"/>
      <w:sz w:val="18"/>
      <w:szCs w:val="20"/>
      <w:lang w:eastAsia="zh-TW"/>
    </w:rPr>
  </w:style>
  <w:style w:type="character" w:customStyle="1" w:styleId="a6">
    <w:name w:val="正文文本 字符"/>
    <w:basedOn w:val="a0"/>
    <w:uiPriority w:val="99"/>
    <w:semiHidden/>
    <w:rsid w:val="00461F3C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link w:val="a5"/>
    <w:uiPriority w:val="99"/>
    <w:locked/>
    <w:rsid w:val="00461F3C"/>
    <w:rPr>
      <w:rFonts w:ascii="Comic Sans MS" w:eastAsia="PMingLiU" w:hAnsi="Comic Sans MS" w:cs="Times New Roman"/>
      <w:color w:val="0000FF"/>
      <w:sz w:val="18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F3C"/>
    <w:rPr>
      <w:sz w:val="18"/>
      <w:szCs w:val="18"/>
    </w:rPr>
  </w:style>
  <w:style w:type="paragraph" w:styleId="a5">
    <w:name w:val="Body Text"/>
    <w:basedOn w:val="a"/>
    <w:link w:val="Char1"/>
    <w:uiPriority w:val="99"/>
    <w:rsid w:val="00461F3C"/>
    <w:pPr>
      <w:spacing w:after="120"/>
      <w:jc w:val="left"/>
    </w:pPr>
    <w:rPr>
      <w:rFonts w:ascii="Comic Sans MS" w:eastAsia="PMingLiU" w:hAnsi="Comic Sans MS"/>
      <w:color w:val="0000FF"/>
      <w:sz w:val="18"/>
      <w:szCs w:val="20"/>
      <w:lang w:eastAsia="zh-TW"/>
    </w:rPr>
  </w:style>
  <w:style w:type="character" w:customStyle="1" w:styleId="a6">
    <w:name w:val="正文文本 字符"/>
    <w:basedOn w:val="a0"/>
    <w:uiPriority w:val="99"/>
    <w:semiHidden/>
    <w:rsid w:val="00461F3C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link w:val="a5"/>
    <w:uiPriority w:val="99"/>
    <w:locked/>
    <w:rsid w:val="00461F3C"/>
    <w:rPr>
      <w:rFonts w:ascii="Comic Sans MS" w:eastAsia="PMingLiU" w:hAnsi="Comic Sans MS" w:cs="Times New Roman"/>
      <w:color w:val="0000FF"/>
      <w:sz w:val="18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linff@hi-tech.org.cn</dc:creator>
  <cp:lastModifiedBy>Hitech</cp:lastModifiedBy>
  <cp:revision>5</cp:revision>
  <cp:lastPrinted>2018-08-21T02:28:00Z</cp:lastPrinted>
  <dcterms:created xsi:type="dcterms:W3CDTF">2018-05-22T03:31:00Z</dcterms:created>
  <dcterms:modified xsi:type="dcterms:W3CDTF">2019-05-16T07:04:00Z</dcterms:modified>
</cp:coreProperties>
</file>