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10F29" w14:textId="0A9AFE41" w:rsidR="00461F3C" w:rsidRPr="00C302D6" w:rsidRDefault="00C302D6" w:rsidP="00461F3C">
      <w:pPr>
        <w:spacing w:beforeLines="50" w:before="156"/>
        <w:rPr>
          <w:rFonts w:ascii="宋体" w:hAnsi="宋体"/>
          <w:b/>
          <w:color w:val="000000"/>
          <w:sz w:val="28"/>
          <w:szCs w:val="28"/>
        </w:rPr>
      </w:pPr>
      <w:r w:rsidRPr="00C302D6">
        <w:rPr>
          <w:rFonts w:ascii="宋体" w:hAnsi="宋体" w:hint="eastAsia"/>
          <w:b/>
          <w:color w:val="000000"/>
          <w:sz w:val="28"/>
          <w:szCs w:val="28"/>
        </w:rPr>
        <w:t>附件三：</w:t>
      </w:r>
      <w:r w:rsidR="00461F3C" w:rsidRPr="00C302D6">
        <w:rPr>
          <w:rFonts w:ascii="宋体" w:hAnsi="宋体" w:hint="eastAsia"/>
          <w:b/>
          <w:color w:val="000000"/>
          <w:sz w:val="28"/>
          <w:szCs w:val="28"/>
        </w:rPr>
        <w:t>讲师介绍</w:t>
      </w:r>
    </w:p>
    <w:p w14:paraId="11148A3D" w14:textId="6B5E6D5E" w:rsidR="00461F3C" w:rsidRPr="00461F3C" w:rsidRDefault="00461F3C" w:rsidP="00461F3C">
      <w:pPr>
        <w:spacing w:beforeLines="20" w:before="62" w:afterLines="20" w:after="62"/>
        <w:rPr>
          <w:rFonts w:ascii="宋体" w:hAnsi="宋体" w:cs="Arial"/>
          <w:b/>
          <w:bCs/>
          <w:iCs/>
          <w:sz w:val="24"/>
        </w:rPr>
      </w:pPr>
      <w:r w:rsidRPr="00461F3C">
        <w:rPr>
          <w:rFonts w:ascii="宋体" w:hAnsi="宋体" w:cs="Arial"/>
          <w:b/>
          <w:bCs/>
          <w:iCs/>
          <w:sz w:val="24"/>
        </w:rPr>
        <w:t>欧阳华昌</w:t>
      </w:r>
    </w:p>
    <w:p w14:paraId="7B657F1E" w14:textId="10DF263E" w:rsidR="00461F3C" w:rsidRPr="00461F3C" w:rsidRDefault="00461F3C" w:rsidP="00461F3C">
      <w:pPr>
        <w:spacing w:beforeLines="20" w:before="62" w:afterLines="20" w:after="62"/>
        <w:rPr>
          <w:rFonts w:ascii="宋体" w:hAnsi="宋体" w:cs="Arial"/>
          <w:b/>
          <w:bCs/>
          <w:color w:val="000000"/>
          <w:sz w:val="24"/>
        </w:rPr>
      </w:pPr>
      <w:r w:rsidRPr="00461F3C">
        <w:rPr>
          <w:rFonts w:ascii="宋体" w:hAnsi="宋体" w:cs="Arial" w:hint="eastAsia"/>
          <w:b/>
          <w:bCs/>
          <w:color w:val="000000"/>
          <w:sz w:val="24"/>
        </w:rPr>
        <w:t>【教育背景与资质认证】</w:t>
      </w:r>
    </w:p>
    <w:p w14:paraId="7FCA8F84" w14:textId="77777777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 w:hint="eastAsia"/>
          <w:color w:val="000000"/>
          <w:sz w:val="24"/>
          <w:szCs w:val="24"/>
          <w:lang w:eastAsia="zh-CN"/>
        </w:rPr>
        <w:t>深圳华昊</w:t>
      </w:r>
      <w:r w:rsidRPr="00461F3C">
        <w:rPr>
          <w:rFonts w:ascii="宋体" w:eastAsia="宋体" w:hAnsi="宋体" w:cs="Arial"/>
          <w:color w:val="000000"/>
          <w:sz w:val="24"/>
          <w:szCs w:val="24"/>
          <w:lang w:eastAsia="zh-CN"/>
        </w:rPr>
        <w:t>联合企业管理顾问</w:t>
      </w:r>
      <w:bookmarkStart w:id="0" w:name="_GoBack"/>
      <w:bookmarkEnd w:id="0"/>
      <w:r w:rsidRPr="00461F3C">
        <w:rPr>
          <w:rFonts w:ascii="宋体" w:eastAsia="宋体" w:hAnsi="宋体" w:cs="Arial" w:hint="eastAsia"/>
          <w:color w:val="000000"/>
          <w:sz w:val="24"/>
          <w:szCs w:val="24"/>
          <w:lang w:eastAsia="zh-CN"/>
        </w:rPr>
        <w:t>有限公司 总经理 首席</w:t>
      </w:r>
      <w:r w:rsidRPr="00461F3C">
        <w:rPr>
          <w:rFonts w:ascii="宋体" w:eastAsia="宋体" w:hAnsi="宋体" w:cs="Arial"/>
          <w:color w:val="000000"/>
          <w:sz w:val="24"/>
          <w:szCs w:val="24"/>
          <w:lang w:eastAsia="zh-CN"/>
        </w:rPr>
        <w:t>顾问师</w:t>
      </w:r>
    </w:p>
    <w:p w14:paraId="18F0B145" w14:textId="77777777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 w:hint="eastAsia"/>
          <w:color w:val="000000"/>
          <w:sz w:val="24"/>
          <w:szCs w:val="24"/>
          <w:lang w:eastAsia="zh-CN"/>
        </w:rPr>
        <w:t>深圳</w:t>
      </w:r>
      <w:r w:rsidRPr="00461F3C">
        <w:rPr>
          <w:rFonts w:ascii="宋体" w:eastAsia="宋体" w:hAnsi="宋体" w:cs="Arial"/>
          <w:color w:val="000000"/>
          <w:sz w:val="24"/>
          <w:szCs w:val="24"/>
          <w:lang w:eastAsia="zh-CN"/>
        </w:rPr>
        <w:t>三星视界（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  <w:lang w:eastAsia="zh-CN"/>
        </w:rPr>
        <w:t>韩国</w:t>
      </w:r>
      <w:r w:rsidRPr="00461F3C">
        <w:rPr>
          <w:rFonts w:ascii="宋体" w:eastAsia="宋体" w:hAnsi="宋体" w:cs="Arial"/>
          <w:color w:val="000000"/>
          <w:sz w:val="24"/>
          <w:szCs w:val="24"/>
          <w:lang w:eastAsia="zh-CN"/>
        </w:rPr>
        <w:t>）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  <w:lang w:eastAsia="zh-CN"/>
        </w:rPr>
        <w:t>有限公司  制造</w:t>
      </w:r>
      <w:r w:rsidRPr="00461F3C">
        <w:rPr>
          <w:rFonts w:ascii="宋体" w:eastAsia="宋体" w:hAnsi="宋体" w:cs="Arial"/>
          <w:color w:val="000000"/>
          <w:sz w:val="24"/>
          <w:szCs w:val="24"/>
          <w:lang w:eastAsia="zh-CN"/>
        </w:rPr>
        <w:t>部长</w:t>
      </w:r>
    </w:p>
    <w:p w14:paraId="64CD5059" w14:textId="77777777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韩国三星总部Six sigma BB认证（SAMSUNG 6SIGMA管理学院）</w:t>
      </w:r>
    </w:p>
    <w:p w14:paraId="33904D96" w14:textId="77777777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TPM（全员生产保全）专家（韩国）</w:t>
      </w:r>
    </w:p>
    <w:p w14:paraId="41FD3282" w14:textId="77777777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精益生产（Lean）专家</w:t>
      </w:r>
    </w:p>
    <w:p w14:paraId="298775DA" w14:textId="77777777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三星中国本部（华南地区）专家级讲师</w:t>
      </w:r>
    </w:p>
    <w:p w14:paraId="4CC0F0C1" w14:textId="77777777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 xml:space="preserve">光华管理学院MBA </w:t>
      </w:r>
    </w:p>
    <w:p w14:paraId="20E0FDAC" w14:textId="77777777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2011年华尊奖 — 中国管理咨询界最受尊敬时代创新人物</w:t>
      </w:r>
    </w:p>
    <w:p w14:paraId="727075FD" w14:textId="77777777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hint="eastAsia"/>
          <w:color w:val="000000"/>
          <w:sz w:val="24"/>
          <w:szCs w:val="24"/>
        </w:rPr>
        <w:t>国际创新</w:t>
      </w:r>
      <w:r w:rsidRPr="00461F3C">
        <w:rPr>
          <w:rFonts w:ascii="宋体" w:eastAsia="宋体" w:hAnsi="宋体"/>
          <w:color w:val="000000"/>
          <w:sz w:val="24"/>
          <w:szCs w:val="24"/>
        </w:rPr>
        <w:t>方法学会永久专家会员</w:t>
      </w:r>
    </w:p>
    <w:p w14:paraId="5F6B6830" w14:textId="0BD9538A" w:rsidR="00461F3C" w:rsidRPr="00461F3C" w:rsidRDefault="00461F3C" w:rsidP="00461F3C">
      <w:pPr>
        <w:pStyle w:val="a7"/>
        <w:tabs>
          <w:tab w:val="num" w:pos="1418"/>
        </w:tabs>
        <w:spacing w:beforeLines="20" w:before="62" w:afterLines="20" w:after="62" w:line="288" w:lineRule="auto"/>
        <w:ind w:left="420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noProof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52D8EEAC" wp14:editId="38FAE2BE">
            <wp:simplePos x="0" y="0"/>
            <wp:positionH relativeFrom="column">
              <wp:posOffset>184785</wp:posOffset>
            </wp:positionH>
            <wp:positionV relativeFrom="paragraph">
              <wp:posOffset>67945</wp:posOffset>
            </wp:positionV>
            <wp:extent cx="5276850" cy="3134995"/>
            <wp:effectExtent l="0" t="0" r="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3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8EE40" w14:textId="77777777" w:rsidR="00461F3C" w:rsidRPr="00461F3C" w:rsidRDefault="00461F3C" w:rsidP="00461F3C">
      <w:pPr>
        <w:pStyle w:val="a7"/>
        <w:tabs>
          <w:tab w:val="num" w:pos="1418"/>
        </w:tabs>
        <w:spacing w:beforeLines="20" w:before="62" w:afterLines="20" w:after="62" w:line="288" w:lineRule="auto"/>
        <w:ind w:left="420"/>
        <w:jc w:val="both"/>
        <w:rPr>
          <w:rFonts w:ascii="宋体" w:eastAsia="宋体" w:hAnsi="宋体" w:cs="Arial"/>
          <w:color w:val="000000"/>
          <w:sz w:val="24"/>
          <w:szCs w:val="24"/>
        </w:rPr>
      </w:pPr>
    </w:p>
    <w:p w14:paraId="3E28EDE8" w14:textId="77777777" w:rsidR="00461F3C" w:rsidRPr="00461F3C" w:rsidRDefault="00461F3C" w:rsidP="00461F3C">
      <w:pPr>
        <w:pStyle w:val="a7"/>
        <w:tabs>
          <w:tab w:val="num" w:pos="1418"/>
        </w:tabs>
        <w:spacing w:beforeLines="20" w:before="62" w:afterLines="20" w:after="62" w:line="288" w:lineRule="auto"/>
        <w:ind w:left="420"/>
        <w:jc w:val="both"/>
        <w:rPr>
          <w:rFonts w:ascii="宋体" w:eastAsia="宋体" w:hAnsi="宋体" w:cs="Arial"/>
          <w:color w:val="000000"/>
          <w:sz w:val="24"/>
          <w:szCs w:val="24"/>
        </w:rPr>
      </w:pPr>
    </w:p>
    <w:p w14:paraId="433BC342" w14:textId="77777777" w:rsidR="00461F3C" w:rsidRPr="00461F3C" w:rsidRDefault="00461F3C" w:rsidP="00461F3C">
      <w:pPr>
        <w:pStyle w:val="a7"/>
        <w:tabs>
          <w:tab w:val="num" w:pos="1418"/>
        </w:tabs>
        <w:spacing w:beforeLines="20" w:before="62" w:afterLines="20" w:after="62" w:line="288" w:lineRule="auto"/>
        <w:ind w:left="420"/>
        <w:jc w:val="both"/>
        <w:rPr>
          <w:rFonts w:ascii="宋体" w:eastAsia="宋体" w:hAnsi="宋体" w:cs="Arial"/>
          <w:color w:val="000000"/>
          <w:sz w:val="24"/>
          <w:szCs w:val="24"/>
        </w:rPr>
      </w:pPr>
    </w:p>
    <w:p w14:paraId="66BE9CFB" w14:textId="77777777" w:rsidR="00461F3C" w:rsidRPr="00461F3C" w:rsidRDefault="00461F3C" w:rsidP="00461F3C">
      <w:pPr>
        <w:pStyle w:val="a7"/>
        <w:tabs>
          <w:tab w:val="num" w:pos="1418"/>
        </w:tabs>
        <w:spacing w:beforeLines="20" w:before="62" w:afterLines="20" w:after="62" w:line="288" w:lineRule="auto"/>
        <w:ind w:left="420"/>
        <w:jc w:val="both"/>
        <w:rPr>
          <w:rFonts w:ascii="宋体" w:eastAsia="宋体" w:hAnsi="宋体" w:cs="Arial"/>
          <w:color w:val="000000"/>
          <w:sz w:val="24"/>
          <w:szCs w:val="24"/>
        </w:rPr>
      </w:pPr>
    </w:p>
    <w:p w14:paraId="39993980" w14:textId="77777777" w:rsidR="00461F3C" w:rsidRPr="00461F3C" w:rsidRDefault="00461F3C" w:rsidP="00461F3C">
      <w:pPr>
        <w:pStyle w:val="a7"/>
        <w:tabs>
          <w:tab w:val="num" w:pos="1418"/>
        </w:tabs>
        <w:spacing w:beforeLines="20" w:before="62" w:afterLines="20" w:after="62" w:line="288" w:lineRule="auto"/>
        <w:ind w:left="420"/>
        <w:jc w:val="both"/>
        <w:rPr>
          <w:rFonts w:ascii="宋体" w:eastAsia="宋体" w:hAnsi="宋体" w:cs="Arial"/>
          <w:color w:val="000000"/>
          <w:sz w:val="24"/>
          <w:szCs w:val="24"/>
        </w:rPr>
      </w:pPr>
    </w:p>
    <w:p w14:paraId="463FC80E" w14:textId="77777777" w:rsidR="00461F3C" w:rsidRPr="00461F3C" w:rsidRDefault="00461F3C" w:rsidP="00461F3C">
      <w:pPr>
        <w:pStyle w:val="a7"/>
        <w:tabs>
          <w:tab w:val="num" w:pos="1418"/>
        </w:tabs>
        <w:spacing w:beforeLines="20" w:before="62" w:afterLines="20" w:after="62" w:line="288" w:lineRule="auto"/>
        <w:ind w:left="420"/>
        <w:jc w:val="both"/>
        <w:rPr>
          <w:rFonts w:ascii="宋体" w:eastAsia="宋体" w:hAnsi="宋体" w:cs="Arial"/>
          <w:color w:val="000000"/>
          <w:sz w:val="24"/>
          <w:szCs w:val="24"/>
        </w:rPr>
      </w:pPr>
    </w:p>
    <w:p w14:paraId="6C67A536" w14:textId="77777777" w:rsidR="00461F3C" w:rsidRDefault="00461F3C" w:rsidP="00461F3C">
      <w:pPr>
        <w:spacing w:beforeLines="20" w:before="62" w:afterLines="20" w:after="62"/>
        <w:rPr>
          <w:rFonts w:ascii="宋体" w:hAnsi="宋体" w:cs="Arial"/>
          <w:b/>
          <w:bCs/>
          <w:color w:val="000000"/>
          <w:sz w:val="24"/>
        </w:rPr>
      </w:pPr>
    </w:p>
    <w:p w14:paraId="4F070255" w14:textId="77777777" w:rsidR="00461F3C" w:rsidRDefault="00461F3C" w:rsidP="00461F3C">
      <w:pPr>
        <w:spacing w:beforeLines="20" w:before="62" w:afterLines="20" w:after="62"/>
        <w:rPr>
          <w:rFonts w:ascii="宋体" w:hAnsi="宋体" w:cs="Arial"/>
          <w:b/>
          <w:bCs/>
          <w:color w:val="000000"/>
          <w:sz w:val="24"/>
        </w:rPr>
      </w:pPr>
    </w:p>
    <w:p w14:paraId="7500680A" w14:textId="77777777" w:rsidR="00461F3C" w:rsidRDefault="00461F3C" w:rsidP="00461F3C">
      <w:pPr>
        <w:spacing w:beforeLines="20" w:before="62" w:afterLines="20" w:after="62"/>
        <w:rPr>
          <w:rFonts w:ascii="宋体" w:hAnsi="宋体" w:cs="Arial"/>
          <w:b/>
          <w:bCs/>
          <w:color w:val="000000"/>
          <w:sz w:val="24"/>
        </w:rPr>
      </w:pPr>
    </w:p>
    <w:p w14:paraId="599840BA" w14:textId="77777777" w:rsidR="00461F3C" w:rsidRDefault="00461F3C" w:rsidP="00461F3C">
      <w:pPr>
        <w:spacing w:beforeLines="20" w:before="62" w:afterLines="20" w:after="62"/>
        <w:rPr>
          <w:rFonts w:ascii="宋体" w:hAnsi="宋体" w:cs="Arial"/>
          <w:b/>
          <w:bCs/>
          <w:color w:val="000000"/>
          <w:sz w:val="24"/>
        </w:rPr>
      </w:pPr>
    </w:p>
    <w:p w14:paraId="03562C43" w14:textId="77777777" w:rsidR="00461F3C" w:rsidRDefault="00461F3C" w:rsidP="00461F3C">
      <w:pPr>
        <w:spacing w:beforeLines="20" w:before="62" w:afterLines="20" w:after="62"/>
        <w:rPr>
          <w:rFonts w:ascii="宋体" w:hAnsi="宋体" w:cs="Arial"/>
          <w:b/>
          <w:bCs/>
          <w:color w:val="000000"/>
          <w:sz w:val="24"/>
        </w:rPr>
      </w:pPr>
    </w:p>
    <w:p w14:paraId="62A743D9" w14:textId="20969E92" w:rsidR="00461F3C" w:rsidRDefault="00461F3C" w:rsidP="00461F3C">
      <w:pPr>
        <w:spacing w:beforeLines="20" w:before="62" w:afterLines="20" w:after="62"/>
        <w:rPr>
          <w:rFonts w:ascii="宋体" w:hAnsi="宋体" w:cs="Arial"/>
          <w:b/>
          <w:bCs/>
          <w:color w:val="000000"/>
          <w:sz w:val="24"/>
        </w:rPr>
      </w:pPr>
    </w:p>
    <w:p w14:paraId="4D4DFE69" w14:textId="77777777" w:rsidR="00461F3C" w:rsidRDefault="00461F3C" w:rsidP="00461F3C">
      <w:pPr>
        <w:spacing w:beforeLines="20" w:before="62" w:afterLines="20" w:after="62"/>
        <w:rPr>
          <w:rFonts w:ascii="宋体" w:hAnsi="宋体" w:cs="Arial"/>
          <w:b/>
          <w:bCs/>
          <w:color w:val="000000"/>
          <w:sz w:val="24"/>
        </w:rPr>
      </w:pPr>
    </w:p>
    <w:p w14:paraId="17EA91C9" w14:textId="1BECB34D" w:rsidR="00461F3C" w:rsidRPr="00461F3C" w:rsidRDefault="00461F3C" w:rsidP="00461F3C">
      <w:pPr>
        <w:spacing w:beforeLines="20" w:before="62" w:afterLines="20" w:after="62"/>
        <w:rPr>
          <w:rFonts w:ascii="宋体" w:hAnsi="宋体" w:cs="Arial"/>
          <w:b/>
          <w:bCs/>
          <w:color w:val="000000"/>
          <w:sz w:val="24"/>
        </w:rPr>
      </w:pPr>
      <w:r w:rsidRPr="00461F3C">
        <w:rPr>
          <w:rFonts w:ascii="宋体" w:hAnsi="宋体" w:cs="Arial" w:hint="eastAsia"/>
          <w:b/>
          <w:bCs/>
          <w:color w:val="000000"/>
          <w:sz w:val="24"/>
        </w:rPr>
        <w:t>【优势专长】</w:t>
      </w:r>
    </w:p>
    <w:p w14:paraId="1CE7978D" w14:textId="77777777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韩国三星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精益生产、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6Sigma研究推进专员，三星中国本部（华南地区）专家级讲师，深圳三星（韩国）视界有限公司 制造部长；</w:t>
      </w:r>
    </w:p>
    <w:p w14:paraId="7BADB34B" w14:textId="77777777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2011年华尊奖 — 中国管理咨询界最受尊敬时代创新人物；</w:t>
      </w:r>
    </w:p>
    <w:p w14:paraId="51C4317E" w14:textId="77777777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20年工程/质量实践和管理经验，其中12年从事实施6 Sigma/精益项目和其他改善活动</w:t>
      </w:r>
    </w:p>
    <w:p w14:paraId="6EAB8251" w14:textId="77777777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lastRenderedPageBreak/>
        <w:t>10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年的精益/六西格玛项目实施经验，曾为亚洲多家知名企业及国际化集团公司导入精益改善/六西格玛项目，培训精益推进专员超过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1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500名，辅导企业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30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0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多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家，帮助企业取得了超过数亿美元的财务收益；</w:t>
      </w:r>
    </w:p>
    <w:p w14:paraId="44B34B92" w14:textId="77777777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擅长精益策划、战略实施、变革管理/六西格玛与企业持续改进系统的建立；</w:t>
      </w:r>
    </w:p>
    <w:p w14:paraId="2D66FA7B" w14:textId="4425E4E6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能够有效激励团队实施突破性改善，提升团队成员领导力。</w:t>
      </w:r>
    </w:p>
    <w:p w14:paraId="7CCB34D3" w14:textId="77777777" w:rsidR="00461F3C" w:rsidRPr="00461F3C" w:rsidRDefault="00461F3C" w:rsidP="00461F3C">
      <w:pPr>
        <w:pStyle w:val="a7"/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</w:p>
    <w:p w14:paraId="62A3FD60" w14:textId="77777777" w:rsidR="00461F3C" w:rsidRPr="00461F3C" w:rsidRDefault="00461F3C" w:rsidP="00461F3C">
      <w:pPr>
        <w:spacing w:beforeLines="20" w:before="62" w:afterLines="20" w:after="62"/>
        <w:rPr>
          <w:rFonts w:ascii="宋体" w:hAnsi="宋体" w:cs="Arial"/>
          <w:b/>
          <w:bCs/>
          <w:color w:val="000000"/>
          <w:sz w:val="24"/>
        </w:rPr>
      </w:pPr>
      <w:r w:rsidRPr="00461F3C">
        <w:rPr>
          <w:rFonts w:ascii="宋体" w:hAnsi="宋体" w:cs="Arial" w:hint="eastAsia"/>
          <w:b/>
          <w:bCs/>
          <w:color w:val="000000"/>
          <w:sz w:val="24"/>
        </w:rPr>
        <w:t>【</w:t>
      </w:r>
      <w:r w:rsidRPr="00461F3C">
        <w:rPr>
          <w:rFonts w:ascii="宋体" w:hAnsi="宋体" w:cs="Arial"/>
          <w:b/>
          <w:bCs/>
          <w:color w:val="000000"/>
          <w:sz w:val="24"/>
        </w:rPr>
        <w:t>工作经历</w:t>
      </w:r>
      <w:r w:rsidRPr="00461F3C">
        <w:rPr>
          <w:rFonts w:ascii="宋体" w:hAnsi="宋体" w:cs="Arial" w:hint="eastAsia"/>
          <w:b/>
          <w:bCs/>
          <w:color w:val="000000"/>
          <w:sz w:val="24"/>
        </w:rPr>
        <w:t>】</w:t>
      </w:r>
    </w:p>
    <w:p w14:paraId="483C2AA9" w14:textId="77777777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在企业生产管理系统上有20年的工作经验，曾任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深圳三星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6Sigma推进部长、制造部长等职位，擅长企业生产管理系统的系列革新活动；包括：卓越现场管理系列（5S/6S) ，精益生产系列（JIT）， 全面设备管理系列（TPM），综合战略革新系列（TPI) ， 绩效管理系列 (PMS) ，极限挑战系列（Dream Time) ，全面质量改善系列（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SQM/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6Sigma)的辅导与策划等领域有丰富的实践经验与成功案例；推进现场改善实战经验丰富；</w:t>
      </w:r>
    </w:p>
    <w:p w14:paraId="473D669E" w14:textId="77777777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韩国三星（深圳）视界有限公司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工作12年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，曾任革新运营部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6SIGMA首任推进长，制造部长，将工厂从初期建设到成为世界一流企业的重要成员之一；全面导入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5S、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TPM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JIT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6SIGMA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标准品质生产方式等改善工具，全面负责主持生产部门业务；</w:t>
      </w:r>
    </w:p>
    <w:p w14:paraId="19969158" w14:textId="1AB68ABA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作为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深圳华昊联合企业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管理顾问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公司首席顾问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，担任5S、TPM、精益生产、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精益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品质、精益Six Sigma的顾问工作，凭借多年的项目实施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和项目管理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经验，帮助企业取得了超过数十亿美元的财务收益</w:t>
      </w:r>
    </w:p>
    <w:p w14:paraId="67F4AFA6" w14:textId="77777777" w:rsidR="00461F3C" w:rsidRPr="00461F3C" w:rsidRDefault="00461F3C" w:rsidP="00461F3C">
      <w:pPr>
        <w:pStyle w:val="a7"/>
        <w:tabs>
          <w:tab w:val="num" w:pos="1418"/>
        </w:tabs>
        <w:spacing w:beforeLines="20" w:before="62" w:afterLines="20" w:after="62" w:line="288" w:lineRule="auto"/>
        <w:ind w:left="420"/>
        <w:jc w:val="both"/>
        <w:rPr>
          <w:rFonts w:ascii="宋体" w:eastAsia="宋体" w:hAnsi="宋体" w:cs="Arial"/>
          <w:color w:val="000000"/>
          <w:sz w:val="24"/>
          <w:szCs w:val="24"/>
        </w:rPr>
      </w:pPr>
    </w:p>
    <w:p w14:paraId="40529D8F" w14:textId="77777777" w:rsidR="00461F3C" w:rsidRPr="00461F3C" w:rsidRDefault="00461F3C" w:rsidP="00461F3C">
      <w:pPr>
        <w:spacing w:beforeLines="20" w:before="62" w:afterLines="20" w:after="62"/>
        <w:rPr>
          <w:rFonts w:ascii="宋体" w:hAnsi="宋体" w:cs="Arial"/>
          <w:b/>
          <w:bCs/>
          <w:color w:val="000000"/>
          <w:sz w:val="24"/>
        </w:rPr>
      </w:pPr>
      <w:r w:rsidRPr="00461F3C">
        <w:rPr>
          <w:rFonts w:ascii="宋体" w:hAnsi="宋体" w:cs="Arial" w:hint="eastAsia"/>
          <w:b/>
          <w:bCs/>
          <w:color w:val="000000"/>
          <w:sz w:val="24"/>
        </w:rPr>
        <w:t>【</w:t>
      </w:r>
      <w:r w:rsidRPr="00461F3C">
        <w:rPr>
          <w:rFonts w:ascii="宋体" w:hAnsi="宋体" w:cs="Arial"/>
          <w:b/>
          <w:bCs/>
          <w:color w:val="000000"/>
          <w:sz w:val="24"/>
        </w:rPr>
        <w:t>主要成就</w:t>
      </w:r>
      <w:r w:rsidRPr="00461F3C">
        <w:rPr>
          <w:rFonts w:ascii="宋体" w:hAnsi="宋体" w:cs="Arial" w:hint="eastAsia"/>
          <w:b/>
          <w:bCs/>
          <w:color w:val="000000"/>
          <w:sz w:val="24"/>
        </w:rPr>
        <w:t>】</w:t>
      </w:r>
    </w:p>
    <w:p w14:paraId="3C734074" w14:textId="77777777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服务过的客户：比亚迪、公牛集团、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华润三九、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华润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润双鹤、上海医药、正大天晴药业、马应龙药业、齐鲁制药、金洲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管道、迈克管道、、神华集团、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国华电力、唐人神集团、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海信集团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福耀集团、创维集团、新航集团、汕头超声集团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长虹集团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、华润怡宝、华润万家、华润电力、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普林电路、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爱升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电路、南都电源、凯金新能源、豫北机械、科隆集团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美佳电机、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扬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杰科技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、超威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电池、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中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环光伏、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宝明光电、瀚达美光电、通常光电、赢新光电、内蒙健隆化工、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河池化工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常州波林化工、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华腾半导体、星欣磊机械、鸿泰门窗、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常熟亿通、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唐山钢铁、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济南钢铁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、南钢、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昆钢重装、华通线缆、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科瑞德电缆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东莞凯欣、广州邦普、珠海特艺、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黄山永新、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青州包装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、浙江鹏远、天源纸业、黄山精工、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红塔集团、湛江卷烟、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阜阳卷烟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常州兰翔、江苏新誉、江苏光王电子、协鑫硅业、常州润源、常州富通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京华激光、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玉柴动力、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恒义汽配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、帝景纺织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等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30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0多家企业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。</w:t>
      </w:r>
    </w:p>
    <w:p w14:paraId="2C7C8340" w14:textId="77777777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/>
          <w:color w:val="000000"/>
          <w:sz w:val="24"/>
          <w:szCs w:val="24"/>
        </w:rPr>
        <w:t>做为项目组核心顾问，对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超声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集团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（PCB）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的4年辅导，系统地建立了企业的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lastRenderedPageBreak/>
        <w:t>经营革新体系，成功推进6S/TPM/JIT/6SIGMA，每年为企业增收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12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00多万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元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；</w:t>
      </w:r>
    </w:p>
    <w:p w14:paraId="3FC3F150" w14:textId="77777777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华润三九药业、华润双鹤医药成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为国内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医药行业的标杆工厂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，通过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LTPM活动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，每年为企业创造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2000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多万元；</w:t>
      </w:r>
    </w:p>
    <w:p w14:paraId="5B0D5357" w14:textId="77777777" w:rsidR="00461F3C" w:rsidRPr="00461F3C" w:rsidRDefault="00461F3C" w:rsidP="00461F3C">
      <w:pPr>
        <w:pStyle w:val="a7"/>
        <w:numPr>
          <w:ilvl w:val="0"/>
          <w:numId w:val="1"/>
        </w:numPr>
        <w:tabs>
          <w:tab w:val="num" w:pos="1418"/>
        </w:tabs>
        <w:spacing w:beforeLines="20" w:before="62" w:afterLines="20" w:after="62" w:line="288" w:lineRule="auto"/>
        <w:jc w:val="both"/>
        <w:rPr>
          <w:rFonts w:ascii="宋体" w:eastAsia="宋体" w:hAnsi="宋体" w:cs="Arial"/>
          <w:color w:val="000000"/>
          <w:sz w:val="24"/>
          <w:szCs w:val="24"/>
        </w:rPr>
      </w:pP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浙江台佳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电子通过华昊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3.5年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的辅导，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企业</w:t>
      </w:r>
      <w:r w:rsidRPr="00461F3C">
        <w:rPr>
          <w:rFonts w:ascii="宋体" w:eastAsia="宋体" w:hAnsi="宋体" w:cs="Arial"/>
          <w:color w:val="000000"/>
          <w:sz w:val="24"/>
          <w:szCs w:val="24"/>
        </w:rPr>
        <w:t>利润翻翻，成为浙江政府指定的民营企业学习标杆</w:t>
      </w:r>
      <w:r w:rsidRPr="00461F3C">
        <w:rPr>
          <w:rFonts w:ascii="宋体" w:eastAsia="宋体" w:hAnsi="宋体" w:cs="Arial" w:hint="eastAsia"/>
          <w:color w:val="000000"/>
          <w:sz w:val="24"/>
          <w:szCs w:val="24"/>
        </w:rPr>
        <w:t>。</w:t>
      </w:r>
    </w:p>
    <w:p w14:paraId="6898D946" w14:textId="77777777" w:rsidR="00A273D6" w:rsidRPr="00461F3C" w:rsidRDefault="00A273D6"/>
    <w:sectPr w:rsidR="00A273D6" w:rsidRPr="00461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816E8" w14:textId="77777777" w:rsidR="00495F64" w:rsidRDefault="00495F64" w:rsidP="00461F3C">
      <w:r>
        <w:separator/>
      </w:r>
    </w:p>
  </w:endnote>
  <w:endnote w:type="continuationSeparator" w:id="0">
    <w:p w14:paraId="1488D652" w14:textId="77777777" w:rsidR="00495F64" w:rsidRDefault="00495F64" w:rsidP="0046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D8631" w14:textId="77777777" w:rsidR="00495F64" w:rsidRDefault="00495F64" w:rsidP="00461F3C">
      <w:r>
        <w:separator/>
      </w:r>
    </w:p>
  </w:footnote>
  <w:footnote w:type="continuationSeparator" w:id="0">
    <w:p w14:paraId="4C1BE8B6" w14:textId="77777777" w:rsidR="00495F64" w:rsidRDefault="00495F64" w:rsidP="0046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144F3"/>
    <w:multiLevelType w:val="hybridMultilevel"/>
    <w:tmpl w:val="CA84B7FA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7B"/>
    <w:rsid w:val="00412738"/>
    <w:rsid w:val="00461F3C"/>
    <w:rsid w:val="00495F64"/>
    <w:rsid w:val="00A273D6"/>
    <w:rsid w:val="00C302D6"/>
    <w:rsid w:val="00D3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3BB84"/>
  <w15:chartTrackingRefBased/>
  <w15:docId w15:val="{BBD4D518-2787-4025-8AC2-789BBEFA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F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F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F3C"/>
    <w:rPr>
      <w:sz w:val="18"/>
      <w:szCs w:val="18"/>
    </w:rPr>
  </w:style>
  <w:style w:type="paragraph" w:styleId="a7">
    <w:name w:val="Body Text"/>
    <w:basedOn w:val="a"/>
    <w:link w:val="1"/>
    <w:uiPriority w:val="99"/>
    <w:rsid w:val="00461F3C"/>
    <w:pPr>
      <w:spacing w:after="120"/>
      <w:jc w:val="left"/>
    </w:pPr>
    <w:rPr>
      <w:rFonts w:ascii="Comic Sans MS" w:eastAsia="PMingLiU" w:hAnsi="Comic Sans MS"/>
      <w:color w:val="0000FF"/>
      <w:sz w:val="18"/>
      <w:szCs w:val="20"/>
      <w:lang w:eastAsia="zh-TW"/>
    </w:rPr>
  </w:style>
  <w:style w:type="character" w:customStyle="1" w:styleId="a8">
    <w:name w:val="正文文本 字符"/>
    <w:basedOn w:val="a0"/>
    <w:uiPriority w:val="99"/>
    <w:semiHidden/>
    <w:rsid w:val="00461F3C"/>
    <w:rPr>
      <w:rFonts w:ascii="Times New Roman" w:eastAsia="宋体" w:hAnsi="Times New Roman" w:cs="Times New Roman"/>
      <w:szCs w:val="24"/>
    </w:rPr>
  </w:style>
  <w:style w:type="character" w:customStyle="1" w:styleId="1">
    <w:name w:val="正文文本 字符1"/>
    <w:link w:val="a7"/>
    <w:uiPriority w:val="99"/>
    <w:locked/>
    <w:rsid w:val="00461F3C"/>
    <w:rPr>
      <w:rFonts w:ascii="Comic Sans MS" w:eastAsia="PMingLiU" w:hAnsi="Comic Sans MS" w:cs="Times New Roman"/>
      <w:color w:val="0000FF"/>
      <w:sz w:val="18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linff@hi-tech.org.cn</dc:creator>
  <cp:keywords/>
  <dc:description/>
  <cp:lastModifiedBy>linff@hi-tech.org.cn</cp:lastModifiedBy>
  <cp:revision>3</cp:revision>
  <dcterms:created xsi:type="dcterms:W3CDTF">2018-05-22T03:31:00Z</dcterms:created>
  <dcterms:modified xsi:type="dcterms:W3CDTF">2018-05-23T02:34:00Z</dcterms:modified>
</cp:coreProperties>
</file>