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center" w:pos="5273"/>
        </w:tabs>
        <w:spacing w:line="360" w:lineRule="auto"/>
        <w:jc w:val="center"/>
        <w:rPr>
          <w:rFonts w:hint="eastAsia" w:ascii="微软雅黑" w:hAnsi="微软雅黑" w:eastAsia="微软雅黑" w:cs="Arial"/>
          <w:b/>
          <w:bCs/>
          <w:color w:val="FF0000"/>
          <w:spacing w:val="6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color w:val="auto"/>
          <w:sz w:val="44"/>
          <w:szCs w:val="44"/>
        </w:rPr>
        <w:t>2015年公益研讨会五《绩效</w:t>
      </w:r>
      <w:r>
        <w:rPr>
          <w:rFonts w:hint="eastAsia" w:ascii="微软雅黑" w:hAnsi="微软雅黑" w:eastAsia="微软雅黑" w:cs="微软雅黑"/>
          <w:b/>
          <w:color w:val="auto"/>
          <w:sz w:val="44"/>
          <w:szCs w:val="44"/>
          <w:lang w:eastAsia="zh-CN"/>
        </w:rPr>
        <w:t>管理</w:t>
      </w:r>
      <w:r>
        <w:rPr>
          <w:rFonts w:hint="eastAsia" w:ascii="微软雅黑" w:hAnsi="微软雅黑" w:eastAsia="微软雅黑" w:cs="微软雅黑"/>
          <w:b/>
          <w:color w:val="auto"/>
          <w:sz w:val="44"/>
          <w:szCs w:val="44"/>
        </w:rPr>
        <w:t>实务》</w:t>
      </w:r>
      <w:r>
        <w:rPr>
          <w:rFonts w:hint="eastAsia" w:ascii="微软雅黑" w:hAnsi="微软雅黑" w:eastAsia="微软雅黑" w:cs="微软雅黑"/>
          <w:b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FF0000"/>
          <w:spacing w:val="6"/>
          <w:sz w:val="24"/>
          <w:szCs w:val="24"/>
        </w:rPr>
        <w:t xml:space="preserve"> 限额</w:t>
      </w:r>
      <w:r>
        <w:rPr>
          <w:rFonts w:hint="eastAsia" w:ascii="微软雅黑" w:hAnsi="微软雅黑" w:eastAsia="微软雅黑" w:cs="Arial"/>
          <w:b/>
          <w:bCs/>
          <w:color w:val="FF0000"/>
          <w:spacing w:val="6"/>
          <w:sz w:val="24"/>
          <w:szCs w:val="24"/>
          <w:lang w:val="en-US" w:eastAsia="zh-CN"/>
        </w:rPr>
        <w:t>40</w:t>
      </w:r>
      <w:r>
        <w:rPr>
          <w:rFonts w:hint="eastAsia" w:ascii="微软雅黑" w:hAnsi="微软雅黑" w:eastAsia="微软雅黑" w:cs="Arial"/>
          <w:b/>
          <w:bCs/>
          <w:color w:val="FF0000"/>
          <w:spacing w:val="6"/>
          <w:sz w:val="24"/>
          <w:szCs w:val="24"/>
        </w:rPr>
        <w:t>人</w:t>
      </w:r>
    </w:p>
    <w:p>
      <w:pPr>
        <w:tabs>
          <w:tab w:val="center" w:pos="5273"/>
        </w:tabs>
        <w:spacing w:line="360" w:lineRule="auto"/>
        <w:rPr>
          <w:rFonts w:ascii="微软雅黑" w:hAnsi="微软雅黑" w:eastAsia="微软雅黑"/>
          <w:b/>
          <w:color w:val="0000F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8"/>
        </w:rPr>
        <w:t>【课程大纲】</w:t>
      </w:r>
    </w:p>
    <w:p>
      <w:pPr>
        <w:widowControl/>
        <w:jc w:val="left"/>
        <w:rPr>
          <w:rFonts w:ascii="宋体" w:hAnsi="宋体"/>
          <w:sz w:val="24"/>
        </w:rPr>
      </w:pPr>
    </w:p>
    <w:tbl>
      <w:tblPr>
        <w:tblStyle w:val="9"/>
        <w:tblW w:w="836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552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4" w:type="dxa"/>
            <w:shd w:val="clear" w:color="auto" w:fill="72B4DC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章</w:t>
            </w:r>
            <w:r>
              <w:rPr>
                <w:rFonts w:ascii="微软雅黑" w:hAnsi="微软雅黑" w:eastAsia="微软雅黑"/>
                <w:b/>
                <w:szCs w:val="21"/>
              </w:rPr>
              <w:t>节</w:t>
            </w:r>
          </w:p>
        </w:tc>
        <w:tc>
          <w:tcPr>
            <w:tcW w:w="2552" w:type="dxa"/>
            <w:shd w:val="clear" w:color="auto" w:fill="72B4DC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课</w:t>
            </w:r>
            <w:r>
              <w:rPr>
                <w:rFonts w:ascii="微软雅黑" w:hAnsi="微软雅黑" w:eastAsia="微软雅黑"/>
                <w:b/>
                <w:szCs w:val="21"/>
              </w:rPr>
              <w:t>程主题</w:t>
            </w:r>
          </w:p>
        </w:tc>
        <w:tc>
          <w:tcPr>
            <w:tcW w:w="4677" w:type="dxa"/>
            <w:shd w:val="clear" w:color="auto" w:fill="72B4DC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主</w:t>
            </w:r>
            <w:r>
              <w:rPr>
                <w:rFonts w:ascii="微软雅黑" w:hAnsi="微软雅黑" w:eastAsia="微软雅黑"/>
                <w:b/>
                <w:szCs w:val="21"/>
              </w:rPr>
              <w:t>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第</w:t>
            </w:r>
            <w:r>
              <w:rPr>
                <w:rFonts w:ascii="微软雅黑" w:hAnsi="微软雅黑" w:eastAsia="微软雅黑"/>
                <w:szCs w:val="21"/>
              </w:rPr>
              <w:t>一部分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绩效体系</w:t>
            </w:r>
            <w:r>
              <w:rPr>
                <w:rFonts w:ascii="微软雅黑" w:hAnsi="微软雅黑" w:eastAsia="微软雅黑"/>
                <w:szCs w:val="21"/>
              </w:rPr>
              <w:t>构建</w:t>
            </w:r>
          </w:p>
        </w:tc>
        <w:tc>
          <w:tcPr>
            <w:tcW w:w="4677" w:type="dxa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导</w:t>
            </w:r>
            <w:r>
              <w:rPr>
                <w:rFonts w:ascii="微软雅黑" w:hAnsi="微软雅黑" w:eastAsia="微软雅黑"/>
                <w:szCs w:val="21"/>
              </w:rPr>
              <w:t>课</w:t>
            </w:r>
            <w:r>
              <w:rPr>
                <w:rFonts w:hint="eastAsia" w:ascii="微软雅黑" w:hAnsi="微软雅黑" w:eastAsia="微软雅黑"/>
                <w:szCs w:val="21"/>
              </w:rPr>
              <w:t>:老板</w:t>
            </w:r>
            <w:r>
              <w:rPr>
                <w:rFonts w:ascii="微软雅黑" w:hAnsi="微软雅黑" w:eastAsia="微软雅黑"/>
                <w:szCs w:val="21"/>
              </w:rPr>
              <w:t>最关心绩效的部分是什么</w:t>
            </w:r>
            <w:r>
              <w:rPr>
                <w:rFonts w:hint="eastAsia" w:ascii="微软雅黑" w:hAnsi="微软雅黑" w:eastAsia="微软雅黑"/>
                <w:szCs w:val="21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</w:t>
            </w:r>
            <w:r>
              <w:rPr>
                <w:rFonts w:ascii="微软雅黑" w:hAnsi="微软雅黑" w:eastAsia="微软雅黑"/>
                <w:szCs w:val="21"/>
              </w:rPr>
              <w:t>在不同阶段，选择哪些不同的绩效管理方</w:t>
            </w:r>
            <w:r>
              <w:rPr>
                <w:rFonts w:hint="eastAsia" w:ascii="微软雅黑" w:hAnsi="微软雅黑" w:eastAsia="微软雅黑"/>
                <w:szCs w:val="21"/>
              </w:rPr>
              <w:t>法</w:t>
            </w:r>
            <w:r>
              <w:rPr>
                <w:rFonts w:ascii="微软雅黑" w:hAnsi="微软雅黑" w:eastAsia="微软雅黑"/>
                <w:szCs w:val="21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绩</w:t>
            </w:r>
            <w:r>
              <w:rPr>
                <w:rFonts w:ascii="微软雅黑" w:hAnsi="微软雅黑" w:eastAsia="微软雅黑"/>
                <w:szCs w:val="21"/>
              </w:rPr>
              <w:t>效体系</w:t>
            </w:r>
            <w:r>
              <w:rPr>
                <w:rFonts w:hint="eastAsia" w:ascii="微软雅黑" w:hAnsi="微软雅黑" w:eastAsia="微软雅黑"/>
                <w:szCs w:val="21"/>
              </w:rPr>
              <w:t>构</w:t>
            </w:r>
            <w:r>
              <w:rPr>
                <w:rFonts w:ascii="微软雅黑" w:hAnsi="微软雅黑" w:eastAsia="微软雅黑"/>
                <w:szCs w:val="21"/>
              </w:rPr>
              <w:t>建地图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第</w:t>
            </w:r>
            <w:r>
              <w:rPr>
                <w:rFonts w:ascii="微软雅黑" w:hAnsi="微软雅黑" w:eastAsia="微软雅黑"/>
                <w:szCs w:val="21"/>
              </w:rPr>
              <w:t>二部分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绩</w:t>
            </w:r>
            <w:r>
              <w:rPr>
                <w:rFonts w:ascii="微软雅黑" w:hAnsi="微软雅黑" w:eastAsia="微软雅黑"/>
                <w:szCs w:val="21"/>
              </w:rPr>
              <w:t>效管理工具介绍</w:t>
            </w:r>
          </w:p>
        </w:tc>
        <w:tc>
          <w:tcPr>
            <w:tcW w:w="4677" w:type="dxa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战略地图工具介绍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KPI工</w:t>
            </w:r>
            <w:r>
              <w:rPr>
                <w:rFonts w:ascii="微软雅黑" w:hAnsi="微软雅黑" w:eastAsia="微软雅黑"/>
                <w:szCs w:val="21"/>
              </w:rPr>
              <w:t>具介</w:t>
            </w:r>
            <w:r>
              <w:rPr>
                <w:rFonts w:hint="eastAsia" w:ascii="微软雅黑" w:hAnsi="微软雅黑" w:eastAsia="微软雅黑"/>
                <w:szCs w:val="21"/>
              </w:rPr>
              <w:t>绍</w:t>
            </w:r>
            <w:r>
              <w:rPr>
                <w:rFonts w:ascii="微软雅黑" w:hAnsi="微软雅黑" w:eastAsia="微软雅黑"/>
                <w:szCs w:val="21"/>
              </w:rPr>
              <w:t>：</w:t>
            </w:r>
          </w:p>
          <w:p>
            <w:pPr>
              <w:numPr>
                <w:ilvl w:val="0"/>
                <w:numId w:val="3"/>
              </w:num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如何提炼公司级</w:t>
            </w:r>
            <w:r>
              <w:rPr>
                <w:rFonts w:hint="eastAsia" w:ascii="微软雅黑" w:hAnsi="微软雅黑" w:eastAsia="微软雅黑"/>
                <w:szCs w:val="21"/>
              </w:rPr>
              <w:t>KPI</w:t>
            </w:r>
          </w:p>
          <w:p>
            <w:pPr>
              <w:numPr>
                <w:ilvl w:val="0"/>
                <w:numId w:val="3"/>
              </w:num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如</w:t>
            </w:r>
            <w:r>
              <w:rPr>
                <w:rFonts w:ascii="微软雅黑" w:hAnsi="微软雅黑" w:eastAsia="微软雅黑"/>
                <w:szCs w:val="21"/>
              </w:rPr>
              <w:t>何分解指标，提炼部门级</w:t>
            </w:r>
            <w:r>
              <w:rPr>
                <w:rFonts w:hint="eastAsia" w:ascii="微软雅黑" w:hAnsi="微软雅黑" w:eastAsia="微软雅黑"/>
                <w:szCs w:val="21"/>
              </w:rPr>
              <w:t>KPI</w:t>
            </w:r>
          </w:p>
          <w:p>
            <w:pPr>
              <w:numPr>
                <w:ilvl w:val="0"/>
                <w:numId w:val="3"/>
              </w:num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KPI</w:t>
            </w:r>
            <w:r>
              <w:rPr>
                <w:rFonts w:hint="eastAsia" w:ascii="微软雅黑" w:hAnsi="微软雅黑" w:eastAsia="微软雅黑"/>
                <w:szCs w:val="21"/>
              </w:rPr>
              <w:t>如</w:t>
            </w:r>
            <w:r>
              <w:rPr>
                <w:rFonts w:ascii="微软雅黑" w:hAnsi="微软雅黑" w:eastAsia="微软雅黑"/>
                <w:szCs w:val="21"/>
              </w:rPr>
              <w:t>何层层承接</w:t>
            </w:r>
            <w:r>
              <w:rPr>
                <w:rFonts w:hint="eastAsia" w:ascii="微软雅黑" w:hAnsi="微软雅黑" w:eastAsia="微软雅黑"/>
                <w:szCs w:val="21"/>
              </w:rPr>
              <w:t>，</w:t>
            </w:r>
            <w:r>
              <w:rPr>
                <w:rFonts w:ascii="微软雅黑" w:hAnsi="微软雅黑" w:eastAsia="微软雅黑"/>
                <w:szCs w:val="21"/>
              </w:rPr>
              <w:t>指</w:t>
            </w:r>
            <w:r>
              <w:rPr>
                <w:rFonts w:hint="eastAsia" w:ascii="微软雅黑" w:hAnsi="微软雅黑" w:eastAsia="微软雅黑"/>
                <w:szCs w:val="21"/>
              </w:rPr>
              <w:t>标</w:t>
            </w:r>
            <w:r>
              <w:rPr>
                <w:rFonts w:ascii="微软雅黑" w:hAnsi="微软雅黑" w:eastAsia="微软雅黑"/>
                <w:szCs w:val="21"/>
              </w:rPr>
              <w:t>提炼的关键点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绩效管理制度</w:t>
            </w:r>
            <w:r>
              <w:rPr>
                <w:rFonts w:hint="eastAsia" w:ascii="微软雅黑" w:hAnsi="微软雅黑" w:eastAsia="微软雅黑"/>
                <w:szCs w:val="21"/>
              </w:rPr>
              <w:t>撰写</w:t>
            </w:r>
            <w:r>
              <w:rPr>
                <w:rFonts w:ascii="微软雅黑" w:hAnsi="微软雅黑" w:eastAsia="微软雅黑"/>
                <w:szCs w:val="21"/>
              </w:rPr>
              <w:t>的关键点</w:t>
            </w:r>
            <w:r>
              <w:rPr>
                <w:rFonts w:hint="eastAsia" w:ascii="微软雅黑" w:hAnsi="微软雅黑" w:eastAsia="微软雅黑"/>
                <w:szCs w:val="21"/>
              </w:rPr>
              <w:t>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绩</w:t>
            </w:r>
            <w:r>
              <w:rPr>
                <w:rFonts w:ascii="微软雅黑" w:hAnsi="微软雅黑" w:eastAsia="微软雅黑"/>
                <w:szCs w:val="21"/>
              </w:rPr>
              <w:t>效如何与薪酬挂钩。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第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三</w:t>
            </w:r>
            <w:r>
              <w:rPr>
                <w:rFonts w:ascii="微软雅黑" w:hAnsi="微软雅黑" w:eastAsia="微软雅黑"/>
                <w:szCs w:val="21"/>
              </w:rPr>
              <w:t>部</w:t>
            </w:r>
            <w:r>
              <w:rPr>
                <w:rFonts w:hint="eastAsia" w:ascii="微软雅黑" w:hAnsi="微软雅黑" w:eastAsia="微软雅黑"/>
                <w:szCs w:val="21"/>
              </w:rPr>
              <w:t>分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绩效</w:t>
            </w:r>
            <w:r>
              <w:rPr>
                <w:rFonts w:ascii="微软雅黑" w:hAnsi="微软雅黑" w:eastAsia="微软雅黑"/>
                <w:szCs w:val="21"/>
              </w:rPr>
              <w:t>管理</w:t>
            </w:r>
            <w:r>
              <w:rPr>
                <w:rFonts w:hint="eastAsia" w:ascii="微软雅黑" w:hAnsi="微软雅黑" w:eastAsia="微软雅黑"/>
                <w:szCs w:val="21"/>
              </w:rPr>
              <w:t>的</w:t>
            </w:r>
            <w:r>
              <w:rPr>
                <w:rFonts w:ascii="微软雅黑" w:hAnsi="微软雅黑" w:eastAsia="微软雅黑"/>
                <w:szCs w:val="21"/>
              </w:rPr>
              <w:t>难点解析</w:t>
            </w:r>
          </w:p>
        </w:tc>
        <w:tc>
          <w:tcPr>
            <w:tcW w:w="4677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1、绩效</w:t>
            </w:r>
            <w:r>
              <w:rPr>
                <w:rFonts w:ascii="微软雅黑" w:hAnsi="微软雅黑" w:eastAsia="微软雅黑"/>
                <w:szCs w:val="21"/>
              </w:rPr>
              <w:t>管理如何平衡劳资双方不同诉求点，择取平衡点</w:t>
            </w:r>
            <w:r>
              <w:rPr>
                <w:rFonts w:hint="eastAsia" w:ascii="微软雅黑" w:hAnsi="微软雅黑" w:eastAsia="微软雅黑"/>
                <w:szCs w:val="21"/>
              </w:rPr>
              <w:t>；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2、绩效</w:t>
            </w:r>
            <w:r>
              <w:rPr>
                <w:rFonts w:ascii="微软雅黑" w:hAnsi="微软雅黑" w:eastAsia="微软雅黑"/>
                <w:szCs w:val="21"/>
              </w:rPr>
              <w:t>管理如何真正支撑企业战略目标的</w:t>
            </w:r>
            <w:r>
              <w:rPr>
                <w:rFonts w:hint="eastAsia" w:ascii="微软雅黑" w:hAnsi="微软雅黑" w:eastAsia="微软雅黑"/>
                <w:szCs w:val="21"/>
              </w:rPr>
              <w:t>实现</w:t>
            </w:r>
            <w:r>
              <w:rPr>
                <w:rFonts w:ascii="微软雅黑" w:hAnsi="微软雅黑" w:eastAsia="微软雅黑"/>
                <w:szCs w:val="21"/>
              </w:rPr>
              <w:t>，成为一个</w:t>
            </w:r>
            <w:r>
              <w:rPr>
                <w:rFonts w:hint="eastAsia" w:ascii="微软雅黑" w:hAnsi="微软雅黑" w:eastAsia="微软雅黑"/>
                <w:szCs w:val="21"/>
              </w:rPr>
              <w:t>形</w:t>
            </w:r>
            <w:r>
              <w:rPr>
                <w:rFonts w:ascii="微软雅黑" w:hAnsi="微软雅黑" w:eastAsia="微软雅黑"/>
                <w:szCs w:val="21"/>
              </w:rPr>
              <w:t>之有效的工具，而不是流于形式</w:t>
            </w:r>
            <w:r>
              <w:rPr>
                <w:rFonts w:hint="eastAsia" w:ascii="微软雅黑" w:hAnsi="微软雅黑" w:eastAsia="微软雅黑"/>
                <w:szCs w:val="21"/>
              </w:rPr>
              <w:t>；</w:t>
            </w:r>
          </w:p>
          <w:p>
            <w:pPr>
              <w:spacing w:line="40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3</w:t>
            </w:r>
            <w:r>
              <w:rPr>
                <w:rFonts w:hint="eastAsia" w:ascii="微软雅黑" w:hAnsi="微软雅黑" w:eastAsia="微软雅黑"/>
                <w:szCs w:val="21"/>
              </w:rPr>
              <w:t>、绩</w:t>
            </w:r>
            <w:r>
              <w:rPr>
                <w:rFonts w:ascii="微软雅黑" w:hAnsi="微软雅黑" w:eastAsia="微软雅黑"/>
                <w:szCs w:val="21"/>
              </w:rPr>
              <w:t>效管理如何跟薪酬挂钩</w:t>
            </w:r>
            <w:r>
              <w:rPr>
                <w:rFonts w:hint="eastAsia" w:ascii="微软雅黑" w:hAnsi="微软雅黑" w:eastAsia="微软雅黑"/>
                <w:szCs w:val="21"/>
              </w:rPr>
              <w:t>，才能</w:t>
            </w:r>
            <w:r>
              <w:rPr>
                <w:rFonts w:ascii="微软雅黑" w:hAnsi="微软雅黑" w:eastAsia="微软雅黑"/>
                <w:szCs w:val="21"/>
              </w:rPr>
              <w:t>起到激励作用。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第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四</w:t>
            </w:r>
            <w:bookmarkStart w:id="0" w:name="_GoBack"/>
            <w:bookmarkEnd w:id="0"/>
            <w:r>
              <w:rPr>
                <w:rFonts w:ascii="微软雅黑" w:hAnsi="微软雅黑" w:eastAsia="微软雅黑"/>
                <w:szCs w:val="21"/>
              </w:rPr>
              <w:t>部分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互动</w:t>
            </w:r>
            <w:r>
              <w:rPr>
                <w:rFonts w:ascii="微软雅黑" w:hAnsi="微软雅黑" w:eastAsia="微软雅黑"/>
                <w:szCs w:val="21"/>
              </w:rPr>
              <w:t>问题探讨</w:t>
            </w:r>
          </w:p>
        </w:tc>
        <w:tc>
          <w:tcPr>
            <w:tcW w:w="4677" w:type="dxa"/>
            <w:vAlign w:val="center"/>
          </w:tcPr>
          <w:p>
            <w:pPr>
              <w:numPr>
                <w:ilvl w:val="0"/>
                <w:numId w:val="4"/>
              </w:numPr>
              <w:spacing w:line="400" w:lineRule="exact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现场</w:t>
            </w:r>
            <w:r>
              <w:rPr>
                <w:rFonts w:ascii="微软雅黑" w:hAnsi="微软雅黑" w:eastAsia="微软雅黑"/>
                <w:szCs w:val="21"/>
              </w:rPr>
              <w:t>提问</w:t>
            </w:r>
            <w:r>
              <w:rPr>
                <w:rFonts w:hint="eastAsia" w:ascii="微软雅黑" w:hAnsi="微软雅黑" w:eastAsia="微软雅黑"/>
                <w:szCs w:val="21"/>
              </w:rPr>
              <w:t>与</w:t>
            </w:r>
            <w:r>
              <w:rPr>
                <w:rFonts w:ascii="微软雅黑" w:hAnsi="微软雅黑" w:eastAsia="微软雅黑"/>
                <w:szCs w:val="21"/>
              </w:rPr>
              <w:t>互动</w:t>
            </w:r>
          </w:p>
        </w:tc>
      </w:tr>
    </w:tbl>
    <w:p>
      <w:pPr>
        <w:spacing w:after="156" w:afterLines="50" w:line="400" w:lineRule="exact"/>
        <w:rPr>
          <w:rFonts w:hint="eastAsia" w:ascii="楷体" w:hAnsi="楷体" w:eastAsia="楷体"/>
          <w:b/>
          <w:bCs/>
          <w:sz w:val="28"/>
          <w:szCs w:val="28"/>
        </w:rPr>
      </w:pPr>
    </w:p>
    <w:p>
      <w:pPr>
        <w:spacing w:before="156" w:beforeLines="50" w:line="480" w:lineRule="exact"/>
        <w:rPr>
          <w:rFonts w:hint="eastAsia" w:ascii="楷体" w:hAnsi="楷体" w:eastAsia="楷体"/>
          <w:b/>
          <w:bCs/>
          <w:sz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8"/>
          <w:lang w:val="en-US" w:eastAsia="zh-CN"/>
        </w:rPr>
        <w:t>【讲师介绍】</w:t>
      </w:r>
      <w:r>
        <w:rPr>
          <w:rFonts w:hint="eastAsia" w:ascii="楷体" w:hAnsi="楷体" w:eastAsia="楷体"/>
          <w:b/>
          <w:bCs/>
          <w:sz w:val="28"/>
          <w:szCs w:val="28"/>
        </w:rPr>
        <w:t>刘新珍</w:t>
      </w:r>
      <w:r>
        <w:rPr>
          <w:rFonts w:hint="eastAsia" w:ascii="楷体" w:hAnsi="楷体" w:eastAsia="楷体"/>
          <w:b/>
          <w:bCs/>
          <w:sz w:val="28"/>
          <w:szCs w:val="28"/>
          <w:lang w:eastAsia="zh-CN"/>
        </w:rPr>
        <w:t>老师</w:t>
      </w:r>
    </w:p>
    <w:p>
      <w:pPr>
        <w:spacing w:line="48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 w:cs="Times New Roman"/>
          <w:b/>
          <w:bCs/>
          <w:kern w:val="2"/>
          <w:sz w:val="28"/>
          <w:szCs w:val="28"/>
          <w:lang w:val="en-US" w:eastAsia="zh-CN" w:bidi="ar-SA"/>
        </w:rPr>
        <w:pict>
          <v:shape id="_x0000_s1027" o:spid="_x0000_s1027" o:spt="75" type="#_x0000_t75" style="position:absolute;left:0pt;margin-left:2.1pt;margin-top:3.55pt;height:200.15pt;width:205.7pt;mso-wrap-distance-bottom:0pt;mso-wrap-distance-left:9pt;mso-wrap-distance-right:9pt;mso-wrap-distance-top:0pt;z-index:251658240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楷体" w:hAnsi="楷体" w:eastAsia="楷体"/>
          <w:b/>
          <w:bCs/>
          <w:sz w:val="24"/>
          <w:lang w:val="en-US" w:eastAsia="zh-CN"/>
        </w:rPr>
        <w:t xml:space="preserve">    </w:t>
      </w:r>
      <w:r>
        <w:rPr>
          <w:rFonts w:hint="eastAsia" w:ascii="楷体" w:hAnsi="楷体" w:eastAsia="楷体"/>
          <w:b/>
          <w:bCs/>
          <w:sz w:val="24"/>
        </w:rPr>
        <w:t>写春秋公司总裁，首席顾问；</w:t>
      </w:r>
      <w:r>
        <w:rPr>
          <w:rFonts w:ascii="楷体" w:hAnsi="楷体" w:eastAsia="楷体"/>
          <w:b/>
          <w:bCs/>
          <w:sz w:val="24"/>
        </w:rPr>
        <w:t xml:space="preserve"> </w:t>
      </w:r>
    </w:p>
    <w:p>
      <w:pPr>
        <w:spacing w:line="48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b/>
          <w:bCs/>
          <w:sz w:val="24"/>
          <w:lang w:val="en-US" w:eastAsia="zh-CN"/>
        </w:rPr>
        <w:t xml:space="preserve">    </w:t>
      </w:r>
      <w:r>
        <w:rPr>
          <w:rFonts w:hint="eastAsia" w:ascii="楷体" w:hAnsi="楷体" w:eastAsia="楷体"/>
          <w:b/>
          <w:bCs/>
          <w:sz w:val="24"/>
        </w:rPr>
        <w:t>国际注册管理咨询师</w:t>
      </w:r>
      <w:r>
        <w:rPr>
          <w:rFonts w:ascii="楷体" w:hAnsi="楷体" w:eastAsia="楷体"/>
          <w:b/>
          <w:bCs/>
          <w:sz w:val="24"/>
        </w:rPr>
        <w:t>(</w:t>
      </w:r>
      <w:r>
        <w:rPr>
          <w:rFonts w:hint="eastAsia" w:ascii="楷体" w:hAnsi="楷体" w:eastAsia="楷体"/>
          <w:b/>
          <w:bCs/>
          <w:sz w:val="24"/>
        </w:rPr>
        <w:t>中国第一位女</w:t>
      </w:r>
      <w:r>
        <w:rPr>
          <w:rFonts w:ascii="楷体" w:hAnsi="楷体" w:eastAsia="楷体"/>
          <w:b/>
          <w:bCs/>
          <w:sz w:val="24"/>
        </w:rPr>
        <w:t>ICMC)；</w:t>
      </w:r>
    </w:p>
    <w:p>
      <w:pPr>
        <w:spacing w:line="48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b/>
          <w:bCs/>
          <w:sz w:val="24"/>
          <w:lang w:val="en-US" w:eastAsia="zh-CN"/>
        </w:rPr>
        <w:t xml:space="preserve">    </w:t>
      </w:r>
      <w:r>
        <w:rPr>
          <w:rFonts w:hint="eastAsia" w:ascii="楷体" w:hAnsi="楷体" w:eastAsia="楷体"/>
          <w:b/>
          <w:bCs/>
          <w:sz w:val="24"/>
        </w:rPr>
        <w:t>龙腾杰等多家企业董事、薪酬绩效委员会主席；</w:t>
      </w:r>
      <w:r>
        <w:rPr>
          <w:rFonts w:ascii="楷体" w:hAnsi="楷体" w:eastAsia="楷体"/>
          <w:b/>
          <w:bCs/>
          <w:sz w:val="24"/>
        </w:rPr>
        <w:t xml:space="preserve"> </w:t>
      </w:r>
    </w:p>
    <w:p>
      <w:pPr>
        <w:spacing w:line="48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b/>
          <w:bCs/>
          <w:sz w:val="24"/>
          <w:lang w:val="en-US" w:eastAsia="zh-CN"/>
        </w:rPr>
        <w:t xml:space="preserve">    </w:t>
      </w:r>
      <w:r>
        <w:rPr>
          <w:rFonts w:hint="eastAsia" w:ascii="楷体" w:hAnsi="楷体" w:eastAsia="楷体"/>
          <w:b/>
          <w:bCs/>
          <w:sz w:val="24"/>
        </w:rPr>
        <w:t>中国战略发展委员会智业联盟主任委员；</w:t>
      </w:r>
      <w:r>
        <w:rPr>
          <w:rFonts w:ascii="楷体" w:hAnsi="楷体" w:eastAsia="楷体"/>
          <w:b/>
          <w:bCs/>
          <w:sz w:val="24"/>
        </w:rPr>
        <w:t xml:space="preserve"> </w:t>
      </w:r>
    </w:p>
    <w:p>
      <w:pPr>
        <w:spacing w:line="48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b/>
          <w:bCs/>
          <w:sz w:val="24"/>
          <w:lang w:val="en-US" w:eastAsia="zh-CN"/>
        </w:rPr>
        <w:t xml:space="preserve">    </w:t>
      </w:r>
      <w:r>
        <w:rPr>
          <w:rFonts w:hint="eastAsia" w:ascii="楷体" w:hAnsi="楷体" w:eastAsia="楷体"/>
          <w:b/>
          <w:bCs/>
          <w:sz w:val="24"/>
        </w:rPr>
        <w:t>深圳人力资源开发研究会资深专家；</w:t>
      </w:r>
      <w:r>
        <w:rPr>
          <w:rFonts w:ascii="楷体" w:hAnsi="楷体" w:eastAsia="楷体"/>
          <w:b/>
          <w:bCs/>
          <w:sz w:val="24"/>
        </w:rPr>
        <w:t xml:space="preserve"> </w:t>
      </w:r>
    </w:p>
    <w:p>
      <w:pPr>
        <w:spacing w:line="48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b/>
          <w:bCs/>
          <w:sz w:val="24"/>
          <w:lang w:val="en-US" w:eastAsia="zh-CN"/>
        </w:rPr>
        <w:t xml:space="preserve">    </w:t>
      </w:r>
      <w:r>
        <w:rPr>
          <w:rFonts w:ascii="楷体" w:hAnsi="楷体" w:eastAsia="楷体"/>
          <w:b/>
          <w:bCs/>
          <w:sz w:val="24"/>
        </w:rPr>
        <w:t>2009</w:t>
      </w:r>
      <w:r>
        <w:rPr>
          <w:rFonts w:hint="eastAsia" w:ascii="楷体" w:hAnsi="楷体" w:eastAsia="楷体"/>
          <w:b/>
          <w:bCs/>
          <w:sz w:val="24"/>
        </w:rPr>
        <w:t>年度教育品牌女性；</w:t>
      </w:r>
      <w:r>
        <w:rPr>
          <w:rFonts w:ascii="楷体" w:hAnsi="楷体" w:eastAsia="楷体"/>
          <w:b/>
          <w:bCs/>
          <w:sz w:val="24"/>
        </w:rPr>
        <w:t xml:space="preserve"> </w:t>
      </w:r>
    </w:p>
    <w:p>
      <w:pPr>
        <w:spacing w:line="48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b/>
          <w:bCs/>
          <w:sz w:val="24"/>
          <w:lang w:val="en-US" w:eastAsia="zh-CN"/>
        </w:rPr>
        <w:t xml:space="preserve">    </w:t>
      </w:r>
      <w:r>
        <w:rPr>
          <w:rFonts w:hint="eastAsia" w:ascii="楷体" w:hAnsi="楷体" w:eastAsia="楷体"/>
          <w:b/>
          <w:bCs/>
          <w:sz w:val="24"/>
        </w:rPr>
        <w:t>国防科大工程硕士；</w:t>
      </w:r>
      <w:r>
        <w:rPr>
          <w:rFonts w:ascii="楷体" w:hAnsi="楷体" w:eastAsia="楷体"/>
          <w:b/>
          <w:bCs/>
          <w:sz w:val="24"/>
        </w:rPr>
        <w:t xml:space="preserve"> </w:t>
      </w:r>
    </w:p>
    <w:p>
      <w:pPr>
        <w:spacing w:line="48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b/>
          <w:bCs/>
          <w:sz w:val="24"/>
          <w:lang w:val="en-US" w:eastAsia="zh-CN"/>
        </w:rPr>
        <w:t xml:space="preserve">    </w:t>
      </w:r>
      <w:r>
        <w:rPr>
          <w:rFonts w:hint="eastAsia" w:ascii="楷体" w:hAnsi="楷体" w:eastAsia="楷体"/>
          <w:b/>
          <w:bCs/>
          <w:sz w:val="24"/>
        </w:rPr>
        <w:t>国际注册企业教练（</w:t>
      </w:r>
      <w:r>
        <w:rPr>
          <w:rFonts w:ascii="楷体" w:hAnsi="楷体" w:eastAsia="楷体"/>
          <w:b/>
          <w:bCs/>
          <w:sz w:val="24"/>
        </w:rPr>
        <w:t>ICES）</w:t>
      </w:r>
    </w:p>
    <w:p>
      <w:pPr>
        <w:spacing w:line="360" w:lineRule="auto"/>
        <w:rPr>
          <w:rFonts w:ascii="宋体" w:hAnsi="宋体"/>
          <w:sz w:val="32"/>
        </w:rPr>
      </w:pPr>
    </w:p>
    <w:p>
      <w:pPr>
        <w:numPr>
          <w:ilvl w:val="0"/>
          <w:numId w:val="5"/>
        </w:numPr>
        <w:tabs>
          <w:tab w:val="left" w:pos="720"/>
        </w:tabs>
        <w:spacing w:after="156" w:afterLines="50" w:line="440" w:lineRule="exact"/>
        <w:ind w:left="714" w:hanging="35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深圳市写春秋管理咨询有限公司于2005年8月由刘新珍女士创立，是一家专注于战略人力资源管理领域的咨询、培训、研究，力求提供最科学实用的人力资源管理解决方案的管理咨询公司。</w:t>
      </w:r>
    </w:p>
    <w:p>
      <w:pPr>
        <w:numPr>
          <w:ilvl w:val="0"/>
          <w:numId w:val="5"/>
        </w:numPr>
        <w:tabs>
          <w:tab w:val="left" w:pos="720"/>
        </w:tabs>
        <w:spacing w:after="156" w:afterLines="50" w:line="440" w:lineRule="exact"/>
        <w:ind w:left="714" w:hanging="35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自创建以来，推动客户实现人力资源管理增值的愿望一直激励着写春秋的成长。 </w:t>
      </w:r>
    </w:p>
    <w:p>
      <w:pPr>
        <w:numPr>
          <w:ilvl w:val="0"/>
          <w:numId w:val="5"/>
        </w:numPr>
        <w:tabs>
          <w:tab w:val="left" w:pos="720"/>
        </w:tabs>
        <w:spacing w:after="156" w:afterLines="50" w:line="440" w:lineRule="exact"/>
        <w:ind w:left="714" w:hanging="35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写春秋的专业形象以卓越的专业能力为基石，专业能力是写春秋与客户达成长期互信伙伴关系的唯一桥梁。 直至2012年写春秋已经累计为近百家企业提供咨询服务，与客户共同迈步在追求卓越的征途上。 客户的成功才是我们的成功！我们携手客户一起迈向卓越巅峰！ </w:t>
      </w:r>
    </w:p>
    <w:p>
      <w:pPr>
        <w:numPr>
          <w:ilvl w:val="0"/>
          <w:numId w:val="5"/>
        </w:numPr>
        <w:tabs>
          <w:tab w:val="left" w:pos="720"/>
        </w:tabs>
        <w:spacing w:after="156" w:afterLines="50" w:line="440" w:lineRule="exact"/>
        <w:ind w:left="714" w:hanging="357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 w:val="24"/>
        </w:rPr>
        <w:t>成功咨询案例介绍：南海矽钢、力合光电、翔德电子、冠日通讯、捷顺科技、金正江大、发斯特、劲嘉彩印、富山王氏、大浪淘沙、美丽传说、百丽雅国际、国华台电、大亚湾核电、中国医药、美国大堡龙、惠普生科技、旗丰供应链、容才纺织、汇百川实业等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color w:val="0000FF"/>
          <w:sz w:val="24"/>
        </w:rPr>
        <w:t>【培训对象】</w:t>
      </w:r>
      <w:r>
        <w:rPr>
          <w:rFonts w:hint="eastAsia" w:ascii="宋体" w:hAnsi="宋体"/>
          <w:sz w:val="24"/>
          <w:lang w:eastAsia="zh-CN"/>
        </w:rPr>
        <w:t>负责绩效及</w:t>
      </w:r>
      <w:r>
        <w:rPr>
          <w:rFonts w:hint="eastAsia" w:ascii="宋体" w:hAnsi="宋体"/>
          <w:sz w:val="24"/>
        </w:rPr>
        <w:t>薪酬的HR专业人士，人力资源主管、经理、总监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color w:val="0000FF"/>
          <w:sz w:val="24"/>
        </w:rPr>
        <w:t>【培训时间】</w:t>
      </w:r>
      <w:r>
        <w:rPr>
          <w:rFonts w:hint="eastAsia" w:ascii="宋体" w:hAnsi="宋体"/>
          <w:sz w:val="24"/>
        </w:rPr>
        <w:t>2015年1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18</w:t>
      </w:r>
      <w:r>
        <w:rPr>
          <w:rFonts w:hint="eastAsia" w:ascii="宋体" w:hAnsi="宋体"/>
          <w:sz w:val="24"/>
        </w:rPr>
        <w:t>日（星期</w:t>
      </w:r>
      <w:r>
        <w:rPr>
          <w:rFonts w:hint="eastAsia" w:ascii="宋体" w:hAnsi="宋体"/>
          <w:sz w:val="24"/>
          <w:lang w:eastAsia="zh-CN"/>
        </w:rPr>
        <w:t>五</w:t>
      </w:r>
      <w:r>
        <w:rPr>
          <w:rFonts w:hint="eastAsia" w:ascii="宋体" w:hAnsi="宋体"/>
          <w:sz w:val="24"/>
        </w:rPr>
        <w:t>）  1</w:t>
      </w:r>
      <w:r>
        <w:rPr>
          <w:rFonts w:hint="eastAsia" w:ascii="宋体" w:hAnsi="宋体"/>
          <w:sz w:val="24"/>
          <w:lang w:val="en-US" w:eastAsia="zh-CN"/>
        </w:rPr>
        <w:t>4:00-1</w:t>
      </w:r>
      <w:r>
        <w:rPr>
          <w:rFonts w:hint="eastAsia" w:ascii="宋体" w:hAnsi="宋体"/>
          <w:sz w:val="24"/>
        </w:rPr>
        <w:t>7:00</w:t>
      </w:r>
    </w:p>
    <w:p>
      <w:pPr>
        <w:spacing w:line="360" w:lineRule="auto"/>
        <w:rPr>
          <w:rFonts w:hint="eastAsia" w:ascii="宋体" w:hAnsi="宋体"/>
          <w:b/>
          <w:bCs/>
          <w:color w:val="FF0000"/>
          <w:sz w:val="24"/>
          <w:lang w:val="en-US"/>
        </w:rPr>
      </w:pPr>
      <w:r>
        <w:rPr>
          <w:rFonts w:hint="eastAsia" w:ascii="宋体" w:hAnsi="宋体"/>
          <w:b/>
          <w:bCs/>
          <w:color w:val="0000FF"/>
          <w:sz w:val="24"/>
        </w:rPr>
        <w:t>【培训地点】</w:t>
      </w:r>
      <w:r>
        <w:rPr>
          <w:rFonts w:hint="eastAsia" w:ascii="宋体" w:hAnsi="宋体"/>
          <w:b/>
          <w:bCs/>
          <w:color w:val="FF0000"/>
          <w:sz w:val="24"/>
        </w:rPr>
        <w:t>深圳市福田区上步中路100</w:t>
      </w:r>
      <w:r>
        <w:rPr>
          <w:rFonts w:hint="eastAsia" w:ascii="宋体" w:hAnsi="宋体"/>
          <w:b/>
          <w:bCs/>
          <w:color w:val="FF0000"/>
          <w:sz w:val="24"/>
          <w:lang w:val="en-US" w:eastAsia="zh-CN"/>
        </w:rPr>
        <w:t>7号华霆酒店3楼会议室</w:t>
      </w:r>
    </w:p>
    <w:p>
      <w:pPr>
        <w:spacing w:line="360" w:lineRule="auto"/>
        <w:rPr>
          <w:rFonts w:hint="eastAsia" w:ascii="宋体" w:hAnsi="宋体"/>
          <w:b/>
          <w:bCs/>
          <w:color w:val="0000FF"/>
          <w:sz w:val="24"/>
          <w:highlight w:val="yellow"/>
        </w:rPr>
      </w:pPr>
      <w:r>
        <w:rPr>
          <w:rFonts w:hint="eastAsia" w:ascii="宋体" w:hAnsi="宋体"/>
          <w:b/>
          <w:bCs/>
          <w:color w:val="0000FF"/>
          <w:sz w:val="24"/>
        </w:rPr>
        <w:t>【培训费用】</w:t>
      </w:r>
      <w:r>
        <w:rPr>
          <w:rFonts w:hint="eastAsia" w:ascii="宋体" w:hAnsi="宋体"/>
          <w:sz w:val="24"/>
          <w:highlight w:val="yellow"/>
          <w:lang w:eastAsia="zh-CN"/>
        </w:rPr>
        <w:t>会员企业</w:t>
      </w:r>
      <w:r>
        <w:rPr>
          <w:rFonts w:hint="eastAsia" w:ascii="宋体" w:hAnsi="宋体"/>
          <w:sz w:val="24"/>
          <w:highlight w:val="yellow"/>
          <w:lang w:val="en-US" w:eastAsia="zh-CN"/>
        </w:rPr>
        <w:t>50元/位（场地费），每家企业限报2人。限额40人，先报先得。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color w:val="0000FF"/>
          <w:sz w:val="24"/>
        </w:rPr>
        <w:t>【咨询窗口</w:t>
      </w:r>
      <w:r>
        <w:rPr>
          <w:rFonts w:hint="eastAsia" w:ascii="宋体" w:hAnsi="宋体"/>
          <w:b/>
          <w:bCs/>
          <w:color w:val="0000FF"/>
          <w:sz w:val="24"/>
        </w:rPr>
        <w:t>】</w:t>
      </w:r>
      <w:r>
        <w:rPr>
          <w:rFonts w:hint="eastAsia" w:ascii="宋体" w:hAnsi="宋体"/>
          <w:sz w:val="24"/>
        </w:rPr>
        <w:t xml:space="preserve">刘老师/章老师：0755—83699382 0755-83699014 </w:t>
      </w:r>
      <w:r>
        <w:rPr>
          <w:rFonts w:hint="eastAsia" w:ascii="宋体" w:hAnsi="宋体"/>
          <w:sz w:val="24"/>
        </w:rPr>
        <w:br w:type="textWrapping"/>
      </w:r>
      <w:r>
        <w:rPr>
          <w:rFonts w:hint="eastAsia" w:ascii="宋体" w:hAnsi="宋体"/>
          <w:b/>
          <w:bCs/>
          <w:color w:val="0000FF"/>
          <w:sz w:val="24"/>
        </w:rPr>
        <w:t>【参与方式】</w:t>
      </w:r>
      <w:r>
        <w:rPr>
          <w:rFonts w:hint="eastAsia" w:ascii="宋体" w:hAnsi="宋体"/>
          <w:sz w:val="24"/>
        </w:rPr>
        <w:t>请下载并填写报名回执邮电至：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HYPERLINK "mailto:liutt@hi-tech.org.cn"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liutt@hi-tech.org.cn</w:t>
      </w:r>
      <w:r>
        <w:rPr>
          <w:rFonts w:hint="eastAsia" w:ascii="宋体" w:hAnsi="宋体"/>
          <w:sz w:val="24"/>
        </w:rPr>
        <w:fldChar w:fldCharType="end"/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        </w:t>
      </w:r>
      <w:r>
        <w:rPr>
          <w:rFonts w:hint="eastAsia" w:ascii="宋体" w:hAnsi="宋体"/>
          <w:sz w:val="24"/>
        </w:rPr>
        <w:t>或传真至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hint="eastAsia" w:ascii="宋体" w:hAnsi="宋体"/>
          <w:sz w:val="24"/>
        </w:rPr>
        <w:t>0755—83671211。</w:t>
      </w:r>
      <w:r>
        <w:rPr>
          <w:rFonts w:hint="eastAsia" w:ascii="宋体" w:hAnsi="宋体"/>
          <w:sz w:val="24"/>
        </w:rPr>
        <w:br w:type="textWrapping"/>
      </w:r>
      <w:r>
        <w:rPr>
          <w:rFonts w:hint="eastAsia" w:ascii="宋体" w:hAnsi="宋体"/>
          <w:b/>
          <w:bCs/>
          <w:color w:val="0000FF"/>
          <w:sz w:val="24"/>
        </w:rPr>
        <w:t>【温馨提示】</w:t>
      </w:r>
      <w:r>
        <w:rPr>
          <w:rFonts w:hint="eastAsia" w:ascii="宋体" w:hAnsi="宋体"/>
          <w:sz w:val="24"/>
        </w:rPr>
        <w:t xml:space="preserve"> 报名后请致电培训部热线83699382与培训部确认，谢谢大家配合！</w:t>
      </w:r>
    </w:p>
    <w:sectPr>
      <w:headerReference r:id="rId3" w:type="default"/>
      <w:pgSz w:w="11907" w:h="16839"/>
      <w:pgMar w:top="0" w:right="926" w:bottom="1440" w:left="1260" w:header="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Cordia New">
    <w:panose1 w:val="020B0304020202020204"/>
    <w:charset w:val="00"/>
    <w:family w:val="modern"/>
    <w:pitch w:val="default"/>
    <w:sig w:usb0="81000003" w:usb1="00000000" w:usb2="00000000" w:usb3="00000000" w:csb0="0001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ngsana New">
    <w:panose1 w:val="02020603050405020304"/>
    <w:charset w:val="00"/>
    <w:family w:val="decorative"/>
    <w:pitch w:val="default"/>
    <w:sig w:usb0="81000003" w:usb1="00000000" w:usb2="00000000" w:usb3="00000000" w:csb0="00010001" w:csb1="00000000"/>
  </w:font>
  <w:font w:name="Microsoft YaHei UI">
    <w:altName w:val="宋体"/>
    <w:panose1 w:val="020B0503020204020204"/>
    <w:charset w:val="86"/>
    <w:family w:val="modern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ordia New">
    <w:panose1 w:val="020B0304020202020204"/>
    <w:charset w:val="00"/>
    <w:family w:val="decorative"/>
    <w:pitch w:val="default"/>
    <w:sig w:usb0="81000003" w:usb1="00000000" w:usb2="00000000" w:usb3="00000000" w:csb0="0001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ngsana New">
    <w:panose1 w:val="02020603050405020304"/>
    <w:charset w:val="00"/>
    <w:family w:val="modern"/>
    <w:pitch w:val="default"/>
    <w:sig w:usb0="81000003" w:usb1="00000000" w:usb2="00000000" w:usb3="00000000" w:csb0="00010001" w:csb1="00000000"/>
  </w:font>
  <w:font w:name="Microsoft YaHei UI">
    <w:altName w:val="宋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ind w:left="8790" w:leftChars="1" w:hanging="8788" w:hangingChars="4882"/>
    </w:pPr>
    <w:r>
      <w:rPr>
        <w:rFonts w:hint="eastAsia"/>
      </w:rPr>
      <w:t xml:space="preserve">                                         </w: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_x0000_i1025" o:spt="75" type="#_x0000_t75" style="height:57.75pt;width:300pt;" fillcolor="#FFFFFF" filled="f" o:preferrelative="t" stroked="f" coordsize="21600,21600">
          <v:path/>
          <v:fill on="f" color2="#FFFFFF" focussize="0,0"/>
          <v:stroke on="f"/>
          <v:imagedata r:id="rId1" gain="65536f" blacklevel="0f" gamma="0" o:title="图片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23083955">
    <w:nsid w:val="310F43B3"/>
    <w:multiLevelType w:val="multilevel"/>
    <w:tmpl w:val="310F43B3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97219974">
    <w:nsid w:val="770B2886"/>
    <w:multiLevelType w:val="multilevel"/>
    <w:tmpl w:val="770B2886"/>
    <w:lvl w:ilvl="0" w:tentative="1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56288952">
    <w:nsid w:val="2D140DB8"/>
    <w:multiLevelType w:val="multilevel"/>
    <w:tmpl w:val="2D140DB8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17515422">
    <w:nsid w:val="36B02C9E"/>
    <w:multiLevelType w:val="multilevel"/>
    <w:tmpl w:val="36B02C9E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19304928">
    <w:nsid w:val="6C7063E0"/>
    <w:multiLevelType w:val="multilevel"/>
    <w:tmpl w:val="6C7063E0"/>
    <w:lvl w:ilvl="0" w:tentative="1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1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1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1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1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1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917515422"/>
  </w:num>
  <w:num w:numId="2">
    <w:abstractNumId w:val="756288952"/>
  </w:num>
  <w:num w:numId="3">
    <w:abstractNumId w:val="1997219974"/>
  </w:num>
  <w:num w:numId="4">
    <w:abstractNumId w:val="823083955"/>
  </w:num>
  <w:num w:numId="5">
    <w:abstractNumId w:val="18193049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DB7"/>
    <w:rsid w:val="00020A1E"/>
    <w:rsid w:val="00037EC2"/>
    <w:rsid w:val="000442EC"/>
    <w:rsid w:val="00044AF8"/>
    <w:rsid w:val="00077167"/>
    <w:rsid w:val="00143EB7"/>
    <w:rsid w:val="001D3C2E"/>
    <w:rsid w:val="001F2DA4"/>
    <w:rsid w:val="00260AE3"/>
    <w:rsid w:val="00287CBC"/>
    <w:rsid w:val="002A3B29"/>
    <w:rsid w:val="002A7F53"/>
    <w:rsid w:val="002D40DC"/>
    <w:rsid w:val="002E6589"/>
    <w:rsid w:val="002F1288"/>
    <w:rsid w:val="003057F6"/>
    <w:rsid w:val="00351C07"/>
    <w:rsid w:val="00354804"/>
    <w:rsid w:val="003A0BD0"/>
    <w:rsid w:val="003D11D7"/>
    <w:rsid w:val="003D1E6A"/>
    <w:rsid w:val="003D5849"/>
    <w:rsid w:val="00455BB4"/>
    <w:rsid w:val="00497ADD"/>
    <w:rsid w:val="004C4CCA"/>
    <w:rsid w:val="004D438F"/>
    <w:rsid w:val="004E1FFA"/>
    <w:rsid w:val="0050517F"/>
    <w:rsid w:val="00507350"/>
    <w:rsid w:val="00507DA2"/>
    <w:rsid w:val="005123A6"/>
    <w:rsid w:val="0053706F"/>
    <w:rsid w:val="00537529"/>
    <w:rsid w:val="00587595"/>
    <w:rsid w:val="00592510"/>
    <w:rsid w:val="00592AD9"/>
    <w:rsid w:val="005C2A8B"/>
    <w:rsid w:val="00643BE9"/>
    <w:rsid w:val="0066414D"/>
    <w:rsid w:val="006C068F"/>
    <w:rsid w:val="006D6982"/>
    <w:rsid w:val="00723839"/>
    <w:rsid w:val="007A7535"/>
    <w:rsid w:val="007B5E31"/>
    <w:rsid w:val="00850812"/>
    <w:rsid w:val="00894697"/>
    <w:rsid w:val="008A1562"/>
    <w:rsid w:val="00913283"/>
    <w:rsid w:val="00920405"/>
    <w:rsid w:val="0092696B"/>
    <w:rsid w:val="0096336E"/>
    <w:rsid w:val="009A58E3"/>
    <w:rsid w:val="00A52042"/>
    <w:rsid w:val="00A65103"/>
    <w:rsid w:val="00B104DC"/>
    <w:rsid w:val="00B2263B"/>
    <w:rsid w:val="00B30C66"/>
    <w:rsid w:val="00B63FDE"/>
    <w:rsid w:val="00B67D6E"/>
    <w:rsid w:val="00B902F1"/>
    <w:rsid w:val="00BC7C84"/>
    <w:rsid w:val="00BF16E5"/>
    <w:rsid w:val="00C36237"/>
    <w:rsid w:val="00C75AD4"/>
    <w:rsid w:val="00C80086"/>
    <w:rsid w:val="00C82883"/>
    <w:rsid w:val="00C90D93"/>
    <w:rsid w:val="00CA63CB"/>
    <w:rsid w:val="00CF30CD"/>
    <w:rsid w:val="00CF6283"/>
    <w:rsid w:val="00D00470"/>
    <w:rsid w:val="00D108DB"/>
    <w:rsid w:val="00D62B43"/>
    <w:rsid w:val="00D93055"/>
    <w:rsid w:val="00DA5027"/>
    <w:rsid w:val="00DB1030"/>
    <w:rsid w:val="00DD6C90"/>
    <w:rsid w:val="00DE3BD3"/>
    <w:rsid w:val="00DF1E3D"/>
    <w:rsid w:val="00E1355E"/>
    <w:rsid w:val="00E210BD"/>
    <w:rsid w:val="00E658C6"/>
    <w:rsid w:val="00ED53A3"/>
    <w:rsid w:val="00F02E3E"/>
    <w:rsid w:val="00F25F48"/>
    <w:rsid w:val="00F34500"/>
    <w:rsid w:val="00F36A95"/>
    <w:rsid w:val="00F53EC3"/>
    <w:rsid w:val="00F74DB7"/>
    <w:rsid w:val="00F8638C"/>
    <w:rsid w:val="00F864B6"/>
    <w:rsid w:val="01087940"/>
    <w:rsid w:val="04BF41D9"/>
    <w:rsid w:val="05A62FC6"/>
    <w:rsid w:val="060506B0"/>
    <w:rsid w:val="069B0266"/>
    <w:rsid w:val="08E1269F"/>
    <w:rsid w:val="0A46326B"/>
    <w:rsid w:val="0ABA57A8"/>
    <w:rsid w:val="0AD927DA"/>
    <w:rsid w:val="0B78105E"/>
    <w:rsid w:val="0BC414DD"/>
    <w:rsid w:val="0E3E2AEB"/>
    <w:rsid w:val="10533DA4"/>
    <w:rsid w:val="10701B06"/>
    <w:rsid w:val="117C30C4"/>
    <w:rsid w:val="11C314B3"/>
    <w:rsid w:val="12442D06"/>
    <w:rsid w:val="12912E05"/>
    <w:rsid w:val="13B341E1"/>
    <w:rsid w:val="13CA6005"/>
    <w:rsid w:val="13E77B33"/>
    <w:rsid w:val="142D2826"/>
    <w:rsid w:val="150F669C"/>
    <w:rsid w:val="17C11489"/>
    <w:rsid w:val="180D3B06"/>
    <w:rsid w:val="1AAF4FD3"/>
    <w:rsid w:val="1AFA1BD0"/>
    <w:rsid w:val="1DF11C2D"/>
    <w:rsid w:val="1F2F70B6"/>
    <w:rsid w:val="1F5D6901"/>
    <w:rsid w:val="1F643D0D"/>
    <w:rsid w:val="1FFE7B2C"/>
    <w:rsid w:val="21525AB7"/>
    <w:rsid w:val="22AA736D"/>
    <w:rsid w:val="22E826D5"/>
    <w:rsid w:val="23B74027"/>
    <w:rsid w:val="241A62CA"/>
    <w:rsid w:val="24C3545E"/>
    <w:rsid w:val="2590132F"/>
    <w:rsid w:val="25CC3712"/>
    <w:rsid w:val="274C7086"/>
    <w:rsid w:val="2762702C"/>
    <w:rsid w:val="2811394C"/>
    <w:rsid w:val="29283114"/>
    <w:rsid w:val="2A093A87"/>
    <w:rsid w:val="2A0F5990"/>
    <w:rsid w:val="2C0113A2"/>
    <w:rsid w:val="2C3C6E9F"/>
    <w:rsid w:val="2DC77CAA"/>
    <w:rsid w:val="2FAC6BC6"/>
    <w:rsid w:val="2FB01D49"/>
    <w:rsid w:val="3237046E"/>
    <w:rsid w:val="3304433F"/>
    <w:rsid w:val="33421C25"/>
    <w:rsid w:val="340E38F7"/>
    <w:rsid w:val="345B0173"/>
    <w:rsid w:val="34987FD8"/>
    <w:rsid w:val="361E5856"/>
    <w:rsid w:val="363D3A0D"/>
    <w:rsid w:val="37D53320"/>
    <w:rsid w:val="38321A3E"/>
    <w:rsid w:val="39471586"/>
    <w:rsid w:val="3B736697"/>
    <w:rsid w:val="3C15041F"/>
    <w:rsid w:val="3D2422BD"/>
    <w:rsid w:val="3D5F713C"/>
    <w:rsid w:val="3DA962B7"/>
    <w:rsid w:val="3FAE3509"/>
    <w:rsid w:val="40670739"/>
    <w:rsid w:val="411F4664"/>
    <w:rsid w:val="41313685"/>
    <w:rsid w:val="4135208B"/>
    <w:rsid w:val="424469C5"/>
    <w:rsid w:val="4889130E"/>
    <w:rsid w:val="4AB12FFB"/>
    <w:rsid w:val="4D2B4C2A"/>
    <w:rsid w:val="4D611881"/>
    <w:rsid w:val="4DAC647D"/>
    <w:rsid w:val="4F6F15E1"/>
    <w:rsid w:val="50870DA9"/>
    <w:rsid w:val="508879B0"/>
    <w:rsid w:val="50C4668F"/>
    <w:rsid w:val="520E31AE"/>
    <w:rsid w:val="52360AEF"/>
    <w:rsid w:val="52CE1F68"/>
    <w:rsid w:val="52D93B7C"/>
    <w:rsid w:val="52FA40B1"/>
    <w:rsid w:val="53BB66ED"/>
    <w:rsid w:val="53D10891"/>
    <w:rsid w:val="55E005F1"/>
    <w:rsid w:val="56E23696"/>
    <w:rsid w:val="5A6951E1"/>
    <w:rsid w:val="5BB321AB"/>
    <w:rsid w:val="5D6C6AD3"/>
    <w:rsid w:val="5D7C4B6F"/>
    <w:rsid w:val="62670500"/>
    <w:rsid w:val="62F8368F"/>
    <w:rsid w:val="63721CB7"/>
    <w:rsid w:val="638144D0"/>
    <w:rsid w:val="642A5BE2"/>
    <w:rsid w:val="644362BC"/>
    <w:rsid w:val="655E275C"/>
    <w:rsid w:val="67714745"/>
    <w:rsid w:val="68FE73CF"/>
    <w:rsid w:val="69D43F2F"/>
    <w:rsid w:val="6A4609EB"/>
    <w:rsid w:val="6A655A1D"/>
    <w:rsid w:val="6BD31477"/>
    <w:rsid w:val="6DDA3DCA"/>
    <w:rsid w:val="6F3D0639"/>
    <w:rsid w:val="70A37798"/>
    <w:rsid w:val="72866971"/>
    <w:rsid w:val="73B415E2"/>
    <w:rsid w:val="770A4EDC"/>
    <w:rsid w:val="77583FB2"/>
    <w:rsid w:val="794C090E"/>
    <w:rsid w:val="794F1893"/>
    <w:rsid w:val="7A9E02BB"/>
    <w:rsid w:val="7AA656C8"/>
    <w:rsid w:val="7DED09A7"/>
    <w:rsid w:val="7FF74280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0" w:semiHidden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 2"/>
    <w:basedOn w:val="1"/>
    <w:unhideWhenUsed/>
    <w:qFormat/>
    <w:uiPriority w:val="0"/>
    <w:pPr>
      <w:spacing w:line="300" w:lineRule="exact"/>
      <w:ind w:firstLine="420"/>
    </w:pPr>
    <w:rPr>
      <w:rFonts w:ascii="Arial" w:hAnsi="Arial" w:cs="Arial"/>
      <w:sz w:val="18"/>
    </w:rPr>
  </w:style>
  <w:style w:type="paragraph" w:styleId="3">
    <w:name w:val="footer"/>
    <w:basedOn w:val="1"/>
    <w:link w:val="1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0"/>
    <w:rPr>
      <w:b/>
      <w:bCs/>
    </w:rPr>
  </w:style>
  <w:style w:type="character" w:styleId="7">
    <w:name w:val="page number"/>
    <w:basedOn w:val="5"/>
    <w:unhideWhenUsed/>
    <w:uiPriority w:val="0"/>
  </w:style>
  <w:style w:type="character" w:styleId="8">
    <w:name w:val="Hyperlink"/>
    <w:basedOn w:val="5"/>
    <w:unhideWhenUsed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paragraph" w:customStyle="1" w:styleId="11">
    <w:name w:val="列出段落2"/>
    <w:basedOn w:val="1"/>
    <w:qFormat/>
    <w:uiPriority w:val="99"/>
    <w:pPr>
      <w:ind w:firstLine="420" w:firstLineChars="200"/>
    </w:pPr>
  </w:style>
  <w:style w:type="paragraph" w:customStyle="1" w:styleId="12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3">
    <w:name w:val="列出段落3"/>
    <w:basedOn w:val="1"/>
    <w:qFormat/>
    <w:uiPriority w:val="0"/>
    <w:pPr>
      <w:ind w:firstLine="420" w:firstLineChars="200"/>
    </w:pPr>
  </w:style>
  <w:style w:type="paragraph" w:customStyle="1" w:styleId="14">
    <w:name w:val="提纲正文"/>
    <w:basedOn w:val="1"/>
    <w:qFormat/>
    <w:uiPriority w:val="0"/>
    <w:pPr>
      <w:spacing w:line="360" w:lineRule="auto"/>
    </w:pPr>
    <w:rPr>
      <w:rFonts w:ascii="Arial" w:hAnsi="Arial" w:cs="宋体"/>
      <w:kern w:val="0"/>
      <w:sz w:val="20"/>
      <w:lang w:val="zh-CN"/>
    </w:rPr>
  </w:style>
  <w:style w:type="paragraph" w:customStyle="1" w:styleId="15">
    <w:name w:val="提纲3级"/>
    <w:basedOn w:val="1"/>
    <w:qFormat/>
    <w:uiPriority w:val="0"/>
    <w:pPr>
      <w:spacing w:line="360" w:lineRule="auto"/>
    </w:pPr>
    <w:rPr>
      <w:rFonts w:ascii="Arial" w:hAnsi="Arial"/>
      <w:kern w:val="0"/>
      <w:sz w:val="20"/>
      <w:szCs w:val="20"/>
    </w:rPr>
  </w:style>
  <w:style w:type="paragraph" w:customStyle="1" w:styleId="16">
    <w:name w:val="提纲2级"/>
    <w:basedOn w:val="1"/>
    <w:next w:val="1"/>
    <w:qFormat/>
    <w:uiPriority w:val="0"/>
    <w:pPr>
      <w:spacing w:line="360" w:lineRule="auto"/>
    </w:pPr>
    <w:rPr>
      <w:rFonts w:ascii="Arial" w:hAnsi="Arial"/>
      <w:kern w:val="0"/>
      <w:sz w:val="20"/>
      <w:szCs w:val="20"/>
    </w:rPr>
  </w:style>
  <w:style w:type="paragraph" w:customStyle="1" w:styleId="17">
    <w:name w:val="_Style 16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Char Char1"/>
    <w:semiHidden/>
    <w:qFormat/>
    <w:uiPriority w:val="99"/>
    <w:rPr>
      <w:sz w:val="18"/>
    </w:rPr>
  </w:style>
  <w:style w:type="character" w:customStyle="1" w:styleId="21">
    <w:name w:val="9p1"/>
    <w:basedOn w:val="5"/>
    <w:qFormat/>
    <w:uiPriority w:val="0"/>
    <w:rPr>
      <w:spacing w:val="0"/>
      <w:sz w:val="18"/>
    </w:rPr>
  </w:style>
  <w:style w:type="paragraph" w:customStyle="1" w:styleId="22">
    <w:name w:val="List Paragraph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421</Words>
  <Characters>2403</Characters>
  <Lines>20</Lines>
  <Paragraphs>5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2014-12-12T03:25:00Z</dcterms:created>
  <dc:creator>AutoBVT</dc:creator>
  <cp:lastModifiedBy>Administrator</cp:lastModifiedBy>
  <dcterms:modified xsi:type="dcterms:W3CDTF">2015-12-09T02:37:37Z</dcterms:modified>
  <dc:title>2015年公益研讨会二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