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5273"/>
        </w:tabs>
        <w:spacing w:line="360" w:lineRule="auto"/>
        <w:rPr>
          <w:rFonts w:hint="eastAsia" w:ascii="微软雅黑" w:hAnsi="微软雅黑" w:eastAsia="微软雅黑" w:cs="微软雅黑"/>
          <w:bCs/>
          <w:color w:val="auto"/>
          <w:sz w:val="36"/>
          <w:szCs w:val="36"/>
        </w:rPr>
      </w:pPr>
      <w:r>
        <w:rPr>
          <w:rFonts w:hint="eastAsia" w:ascii="微软雅黑" w:hAnsi="微软雅黑" w:eastAsia="微软雅黑" w:cs="微软雅黑"/>
          <w:bCs/>
          <w:color w:val="auto"/>
          <w:sz w:val="36"/>
          <w:szCs w:val="36"/>
          <w:lang w:val="en-US" w:eastAsia="zh-CN"/>
        </w:rPr>
        <w:t xml:space="preserve">  </w:t>
      </w:r>
      <w:r>
        <w:rPr>
          <w:rFonts w:hint="eastAsia" w:ascii="微软雅黑" w:hAnsi="微软雅黑" w:eastAsia="微软雅黑" w:cs="微软雅黑"/>
          <w:bCs/>
          <w:color w:val="auto"/>
          <w:sz w:val="36"/>
          <w:szCs w:val="36"/>
        </w:rPr>
        <w:t>2015年深圳市中小企业提升国际化经营能力培训项目五</w:t>
      </w:r>
    </w:p>
    <w:p>
      <w:pPr>
        <w:tabs>
          <w:tab w:val="center" w:pos="5273"/>
        </w:tabs>
        <w:spacing w:line="360" w:lineRule="auto"/>
        <w:jc w:val="both"/>
        <w:rPr>
          <w:rFonts w:ascii="微软雅黑" w:hAnsi="微软雅黑" w:eastAsia="微软雅黑" w:cs="Arial"/>
          <w:b/>
          <w:bCs/>
          <w:color w:val="3366FF"/>
          <w:spacing w:val="6"/>
          <w:sz w:val="36"/>
          <w:szCs w:val="36"/>
        </w:rPr>
      </w:pPr>
      <w:r>
        <w:rPr>
          <w:rFonts w:hint="eastAsia" w:ascii="微软雅黑" w:hAnsi="微软雅黑" w:eastAsia="微软雅黑" w:cs="微软雅黑"/>
          <w:b w:val="0"/>
          <w:bCs/>
          <w:color w:val="auto"/>
          <w:sz w:val="36"/>
          <w:szCs w:val="36"/>
          <w:lang w:val="en-US" w:eastAsia="zh-CN"/>
        </w:rPr>
        <w:t xml:space="preserve">  </w:t>
      </w:r>
      <w:r>
        <w:rPr>
          <w:rFonts w:hint="eastAsia" w:ascii="微软雅黑" w:hAnsi="微软雅黑" w:eastAsia="微软雅黑" w:cs="微软雅黑"/>
          <w:b w:val="0"/>
          <w:bCs/>
          <w:color w:val="auto"/>
          <w:sz w:val="36"/>
          <w:szCs w:val="36"/>
        </w:rPr>
        <w:t>《国际贸易“信用证结算”实务操作及最新案例解析》</w:t>
      </w:r>
      <w:r>
        <w:rPr>
          <w:rFonts w:hint="eastAsia" w:ascii="微软雅黑" w:hAnsi="微软雅黑" w:eastAsia="微软雅黑" w:cs="微软雅黑"/>
          <w:b w:val="0"/>
          <w:bCs/>
          <w:color w:val="auto"/>
          <w:sz w:val="36"/>
          <w:szCs w:val="36"/>
          <w:lang w:val="en-US" w:eastAsia="zh-CN"/>
        </w:rPr>
        <w:t xml:space="preserve">  </w:t>
      </w:r>
      <w:r>
        <w:rPr>
          <w:rFonts w:hint="eastAsia" w:ascii="微软雅黑" w:hAnsi="微软雅黑" w:eastAsia="微软雅黑" w:cs="微软雅黑"/>
          <w:bCs/>
          <w:color w:val="auto"/>
          <w:sz w:val="36"/>
          <w:szCs w:val="36"/>
          <w:lang w:val="en-US" w:eastAsia="zh-CN"/>
        </w:rPr>
        <w:t xml:space="preserve">                                           </w:t>
      </w:r>
      <w:r>
        <w:rPr>
          <w:rFonts w:hint="eastAsia" w:ascii="微软雅黑" w:hAnsi="微软雅黑" w:eastAsia="微软雅黑" w:cs="Arial"/>
          <w:b/>
          <w:bCs/>
          <w:color w:val="FF0000"/>
          <w:spacing w:val="6"/>
          <w:sz w:val="24"/>
          <w:szCs w:val="24"/>
        </w:rPr>
        <w:t xml:space="preserve"> </w:t>
      </w:r>
      <w:r>
        <w:rPr>
          <w:rFonts w:hint="eastAsia" w:ascii="微软雅黑" w:hAnsi="微软雅黑" w:eastAsia="微软雅黑" w:cs="Arial"/>
          <w:b/>
          <w:bCs/>
          <w:color w:val="FF0000"/>
          <w:spacing w:val="6"/>
          <w:sz w:val="24"/>
          <w:szCs w:val="24"/>
          <w:lang w:val="en-US" w:eastAsia="zh-CN"/>
        </w:rPr>
        <w:t xml:space="preserve">           </w:t>
      </w:r>
    </w:p>
    <w:p>
      <w:pPr>
        <w:pStyle w:val="17"/>
        <w:ind w:left="39"/>
        <w:jc w:val="left"/>
        <w:rPr>
          <w:rFonts w:hint="eastAsia" w:ascii="宋体" w:hAnsi="宋体" w:eastAsia="宋体" w:cs="Times New Roman"/>
          <w:b/>
          <w:bCs/>
          <w:color w:val="0000FF"/>
          <w:kern w:val="2"/>
          <w:sz w:val="24"/>
          <w:szCs w:val="24"/>
          <w:lang w:val="en-US" w:eastAsia="zh-CN" w:bidi="ar-SA"/>
        </w:rPr>
      </w:pPr>
      <w:r>
        <w:rPr>
          <w:rFonts w:hint="eastAsia" w:ascii="宋体" w:hAnsi="宋体" w:eastAsia="宋体" w:cs="Times New Roman"/>
          <w:b/>
          <w:bCs/>
          <w:color w:val="0000FF"/>
          <w:kern w:val="2"/>
          <w:sz w:val="24"/>
          <w:szCs w:val="24"/>
          <w:lang w:val="en-US" w:eastAsia="zh-CN" w:bidi="ar-SA"/>
        </w:rPr>
        <w:t>【课程</w:t>
      </w:r>
      <w:r>
        <w:rPr>
          <w:rFonts w:hint="eastAsia" w:ascii="宋体" w:hAnsi="宋体" w:cs="Times New Roman"/>
          <w:b/>
          <w:bCs/>
          <w:color w:val="0000FF"/>
          <w:kern w:val="2"/>
          <w:sz w:val="24"/>
          <w:szCs w:val="24"/>
          <w:lang w:val="en-US" w:eastAsia="zh-CN" w:bidi="ar-SA"/>
        </w:rPr>
        <w:t>介绍</w:t>
      </w:r>
      <w:r>
        <w:rPr>
          <w:rFonts w:hint="eastAsia" w:ascii="宋体" w:hAnsi="宋体" w:eastAsia="宋体" w:cs="Times New Roman"/>
          <w:b/>
          <w:bCs/>
          <w:color w:val="0000FF"/>
          <w:kern w:val="2"/>
          <w:sz w:val="24"/>
          <w:szCs w:val="24"/>
          <w:lang w:val="en-US" w:eastAsia="zh-CN" w:bidi="ar-SA"/>
        </w:rPr>
        <w:t>】</w:t>
      </w:r>
    </w:p>
    <w:p>
      <w:pPr>
        <w:pStyle w:val="18"/>
        <w:widowControl w:val="0"/>
        <w:numPr>
          <w:numId w:val="0"/>
        </w:numPr>
        <w:wordWrap/>
        <w:adjustRightInd/>
        <w:snapToGrid/>
        <w:spacing w:line="360" w:lineRule="auto"/>
        <w:ind w:leftChars="0" w:right="0"/>
        <w:jc w:val="both"/>
        <w:textAlignment w:val="auto"/>
        <w:outlineLvl w:val="9"/>
        <w:rPr>
          <w:rFonts w:hint="eastAsia"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rPr>
        <w:t>长期以来，信用证一直是国际贸易结算中对买卖双方都比较安全的，也是最为常用的方式，在我国和诸多地区（特别是亚非拉）的国际结算中依然保持着主导和统治地位。由于信用证相比汇付和托收，操作难度最大，最复杂，专业要求最高，一直以来，信用证被不少出口企业当作洪水猛兽，害怕信用证，觉得不如电汇收现钱来得方便和简单。可如果完全把信用证拒之门外，自己又会白白失去不少做信用证支付的买家。究竟信用证如何实操，需要注意什么，如何彻底搞懂信用证，放心大胆使用信用证，帮助外贸人员分析问题，找出误区，深入、准确地把握信用证国际惯例和信用证操作流程，减少信用证纠纷，推动信用证业务持续健康发展，正是本课程的目的所在。</w:t>
      </w:r>
    </w:p>
    <w:p>
      <w:pPr>
        <w:pStyle w:val="18"/>
        <w:widowControl w:val="0"/>
        <w:numPr>
          <w:numId w:val="0"/>
        </w:numPr>
        <w:wordWrap/>
        <w:adjustRightInd/>
        <w:snapToGrid/>
        <w:spacing w:line="360" w:lineRule="auto"/>
        <w:ind w:leftChars="0" w:right="0"/>
        <w:jc w:val="both"/>
        <w:textAlignment w:val="auto"/>
        <w:outlineLvl w:val="9"/>
        <w:rPr>
          <w:rFonts w:hint="eastAsia"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rPr>
        <w:t>信用证结算，单证很重要，多数纠纷都表现在单证环节。本课程使用真实的外贸合同、信用证、全套单据，结合实际案例，使学员短时间内全面而深刻掌握进出口信用证结算、审证（单）、制单、交单的核心与要点。</w:t>
      </w:r>
    </w:p>
    <w:p>
      <w:pPr>
        <w:pStyle w:val="17"/>
        <w:ind w:left="39"/>
        <w:jc w:val="left"/>
        <w:rPr>
          <w:rFonts w:hint="eastAsia" w:ascii="宋体" w:hAnsi="宋体" w:eastAsia="宋体" w:cs="Times New Roman"/>
          <w:b/>
          <w:bCs/>
          <w:color w:val="0000FF"/>
          <w:kern w:val="2"/>
          <w:sz w:val="24"/>
          <w:szCs w:val="24"/>
          <w:lang w:val="en-US" w:eastAsia="zh-CN" w:bidi="ar-SA"/>
        </w:rPr>
      </w:pPr>
      <w:r>
        <w:rPr>
          <w:rFonts w:hint="eastAsia" w:ascii="宋体" w:hAnsi="宋体" w:eastAsia="宋体" w:cs="Times New Roman"/>
          <w:b/>
          <w:bCs/>
          <w:color w:val="0000FF"/>
          <w:kern w:val="2"/>
          <w:sz w:val="24"/>
          <w:szCs w:val="24"/>
          <w:lang w:val="en-US" w:eastAsia="zh-CN" w:bidi="ar-SA"/>
        </w:rPr>
        <w:t>【课程大纲】</w:t>
      </w:r>
    </w:p>
    <w:p>
      <w:pPr>
        <w:pStyle w:val="17"/>
        <w:numPr>
          <w:ilvl w:val="0"/>
          <w:numId w:val="1"/>
        </w:numPr>
        <w:ind w:left="39"/>
        <w:jc w:val="left"/>
        <w:rPr>
          <w:rStyle w:val="23"/>
          <w:rFonts w:hint="eastAsia" w:ascii="宋体" w:hAnsi="宋体" w:cs="宋体"/>
          <w:b/>
          <w:bCs/>
          <w:color w:val="auto"/>
          <w:sz w:val="24"/>
          <w:szCs w:val="24"/>
          <w:shd w:val="clear" w:color="auto" w:fill="auto"/>
          <w:lang w:val="en-US" w:eastAsia="zh-CN"/>
        </w:rPr>
      </w:pPr>
      <w:r>
        <w:rPr>
          <w:rFonts w:hint="eastAsia" w:ascii="宋体" w:hAnsi="宋体" w:eastAsia="宋体" w:cs="宋体"/>
          <w:b/>
          <w:bCs/>
          <w:iCs/>
          <w:color w:val="auto"/>
          <w:kern w:val="0"/>
          <w:sz w:val="24"/>
          <w:szCs w:val="24"/>
        </w:rPr>
        <w:t>信用证的种类</w:t>
      </w:r>
      <w:r>
        <w:rPr>
          <w:rStyle w:val="23"/>
          <w:rFonts w:hint="eastAsia" w:ascii="宋体" w:hAnsi="宋体" w:cs="宋体"/>
          <w:b/>
          <w:bCs/>
          <w:color w:val="auto"/>
          <w:sz w:val="24"/>
          <w:szCs w:val="24"/>
          <w:shd w:val="clear" w:color="auto" w:fill="auto"/>
          <w:lang w:val="en-US" w:eastAsia="zh-CN"/>
        </w:rPr>
        <w:t xml:space="preserve"> </w:t>
      </w:r>
    </w:p>
    <w:p>
      <w:pPr>
        <w:pStyle w:val="17"/>
        <w:numPr>
          <w:ilvl w:val="0"/>
          <w:numId w:val="1"/>
        </w:numPr>
        <w:ind w:left="39"/>
        <w:jc w:val="left"/>
        <w:rPr>
          <w:rFonts w:hint="eastAsia" w:ascii="宋体" w:hAnsi="宋体" w:eastAsia="宋体" w:cs="宋体"/>
          <w:b/>
          <w:bCs/>
          <w:color w:val="auto"/>
          <w:sz w:val="24"/>
          <w:szCs w:val="24"/>
          <w:shd w:val="clear" w:color="auto" w:fill="auto"/>
        </w:rPr>
      </w:pPr>
      <w:r>
        <w:rPr>
          <w:rFonts w:hint="eastAsia" w:ascii="宋体" w:hAnsi="宋体" w:eastAsia="宋体" w:cs="宋体"/>
          <w:b/>
          <w:bCs/>
          <w:iCs/>
          <w:color w:val="auto"/>
          <w:kern w:val="0"/>
          <w:sz w:val="24"/>
          <w:szCs w:val="24"/>
          <w:shd w:val="clear" w:color="auto" w:fill="auto"/>
        </w:rPr>
        <w:t>信用证的特点和作用</w:t>
      </w:r>
    </w:p>
    <w:p>
      <w:pPr>
        <w:pStyle w:val="17"/>
        <w:numPr>
          <w:ilvl w:val="0"/>
          <w:numId w:val="1"/>
        </w:numPr>
        <w:ind w:left="39" w:leftChars="0"/>
        <w:jc w:val="left"/>
        <w:rPr>
          <w:rStyle w:val="23"/>
          <w:rFonts w:hint="eastAsia" w:ascii="宋体" w:hAnsi="宋体" w:eastAsia="宋体" w:cs="宋体"/>
          <w:b/>
          <w:bCs/>
          <w:color w:val="auto"/>
          <w:sz w:val="24"/>
          <w:szCs w:val="24"/>
          <w:shd w:val="clear" w:color="auto" w:fill="auto"/>
        </w:rPr>
      </w:pPr>
      <w:r>
        <w:rPr>
          <w:rStyle w:val="23"/>
          <w:rFonts w:hint="eastAsia" w:ascii="宋体" w:hAnsi="宋体" w:eastAsia="宋体" w:cs="宋体"/>
          <w:b/>
          <w:bCs/>
          <w:color w:val="auto"/>
          <w:sz w:val="24"/>
          <w:szCs w:val="24"/>
          <w:shd w:val="clear" w:color="auto" w:fill="auto"/>
        </w:rPr>
        <w:t>信用证适用的国际商会（ICC）规则</w:t>
      </w:r>
    </w:p>
    <w:p>
      <w:pPr>
        <w:pStyle w:val="17"/>
        <w:numPr>
          <w:numId w:val="0"/>
        </w:numPr>
        <w:jc w:val="left"/>
        <w:rPr>
          <w:rFonts w:hint="eastAsia" w:ascii="宋体" w:hAnsi="宋体" w:eastAsia="宋体" w:cs="宋体"/>
          <w:b/>
          <w:bCs/>
          <w:color w:val="auto"/>
          <w:sz w:val="24"/>
          <w:szCs w:val="24"/>
          <w:shd w:val="clear" w:color="auto" w:fill="auto"/>
        </w:rPr>
      </w:pPr>
      <w:r>
        <w:rPr>
          <w:rFonts w:hint="eastAsia" w:ascii="宋体" w:hAnsi="宋体" w:eastAsia="宋体" w:cs="宋体"/>
          <w:b/>
          <w:bCs/>
          <w:color w:val="auto"/>
          <w:sz w:val="24"/>
          <w:szCs w:val="24"/>
          <w:shd w:val="clear" w:color="auto" w:fill="auto"/>
        </w:rPr>
        <w:t>4．信用证全过程的实操与技巧</w:t>
      </w:r>
    </w:p>
    <w:p>
      <w:pPr>
        <w:pStyle w:val="24"/>
        <w:shd w:val="clear" w:color="auto" w:fill="auto"/>
        <w:tabs>
          <w:tab w:val="left" w:pos="13965"/>
        </w:tabs>
        <w:wordWrap/>
        <w:adjustRightInd/>
        <w:snapToGrid/>
        <w:spacing w:before="0" w:beforeAutospacing="0" w:after="0" w:afterAutospacing="0" w:line="360" w:lineRule="auto"/>
        <w:ind w:left="1082" w:leftChars="268" w:right="0" w:hanging="519" w:hangingChars="247"/>
        <w:rPr>
          <w:rFonts w:hint="eastAsia" w:ascii="宋体" w:hAnsi="宋体" w:eastAsia="宋体" w:cs="宋体"/>
          <w:color w:val="000000"/>
          <w:sz w:val="24"/>
          <w:szCs w:val="24"/>
          <w:shd w:val="clear" w:color="auto" w:fill="auto"/>
        </w:rPr>
      </w:pPr>
      <w:r>
        <w:rPr>
          <w:rFonts w:hint="eastAsia" w:ascii="宋体" w:hAnsi="宋体" w:eastAsia="宋体" w:cs="宋体"/>
          <w:color w:val="000000"/>
          <w:sz w:val="24"/>
          <w:szCs w:val="24"/>
          <w:shd w:val="clear" w:color="auto" w:fill="auto"/>
        </w:rPr>
        <w:t>4.1 开证前预审开证申请书</w:t>
      </w:r>
    </w:p>
    <w:p>
      <w:pPr>
        <w:pStyle w:val="24"/>
        <w:shd w:val="clear" w:color="auto" w:fill="auto"/>
        <w:wordWrap/>
        <w:adjustRightInd/>
        <w:snapToGrid/>
        <w:spacing w:before="0" w:beforeAutospacing="0" w:after="0" w:afterAutospacing="0" w:line="360" w:lineRule="auto"/>
        <w:ind w:right="0"/>
        <w:rPr>
          <w:rFonts w:hint="eastAsia" w:ascii="宋体" w:hAnsi="宋体" w:eastAsia="宋体" w:cs="宋体"/>
          <w:color w:val="333333"/>
          <w:spacing w:val="8"/>
          <w:sz w:val="24"/>
          <w:szCs w:val="24"/>
          <w:shd w:val="clear" w:color="auto" w:fill="auto"/>
        </w:rPr>
      </w:pPr>
      <w:r>
        <w:rPr>
          <w:rFonts w:hint="eastAsia" w:cs="宋体"/>
          <w:color w:val="333333"/>
          <w:spacing w:val="8"/>
          <w:sz w:val="24"/>
          <w:szCs w:val="24"/>
          <w:shd w:val="clear" w:color="auto" w:fill="auto"/>
          <w:lang w:val="en-US" w:eastAsia="zh-CN"/>
        </w:rPr>
        <w:t xml:space="preserve">    </w:t>
      </w:r>
      <w:r>
        <w:rPr>
          <w:rFonts w:hint="eastAsia" w:ascii="宋体" w:hAnsi="宋体" w:eastAsia="宋体" w:cs="宋体"/>
          <w:color w:val="333333"/>
          <w:spacing w:val="8"/>
          <w:sz w:val="24"/>
          <w:szCs w:val="24"/>
          <w:shd w:val="clear" w:color="auto" w:fill="auto"/>
        </w:rPr>
        <w:t>4.2收到信用证正本后，再次审核。</w:t>
      </w:r>
    </w:p>
    <w:p>
      <w:pPr>
        <w:pStyle w:val="24"/>
        <w:shd w:val="clear" w:color="auto" w:fill="auto"/>
        <w:tabs>
          <w:tab w:val="left" w:pos="709"/>
        </w:tabs>
        <w:wordWrap/>
        <w:adjustRightInd/>
        <w:snapToGrid/>
        <w:spacing w:before="0" w:beforeAutospacing="0" w:after="0" w:afterAutospacing="0" w:line="360" w:lineRule="auto"/>
        <w:ind w:right="0"/>
        <w:rPr>
          <w:rFonts w:hint="eastAsia" w:ascii="宋体" w:hAnsi="宋体" w:eastAsia="宋体" w:cs="宋体"/>
          <w:sz w:val="24"/>
          <w:szCs w:val="24"/>
          <w:shd w:val="clear" w:color="auto" w:fill="auto"/>
        </w:rPr>
      </w:pPr>
      <w:r>
        <w:rPr>
          <w:rFonts w:hint="eastAsia" w:cs="宋体"/>
          <w:color w:val="333333"/>
          <w:sz w:val="24"/>
          <w:szCs w:val="24"/>
          <w:shd w:val="clear" w:color="auto" w:fill="auto"/>
          <w:lang w:val="en-US" w:eastAsia="zh-CN"/>
        </w:rPr>
        <w:t xml:space="preserve">     </w:t>
      </w:r>
      <w:r>
        <w:rPr>
          <w:rFonts w:hint="eastAsia" w:ascii="宋体" w:hAnsi="宋体" w:eastAsia="宋体" w:cs="宋体"/>
          <w:color w:val="333333"/>
          <w:sz w:val="24"/>
          <w:szCs w:val="24"/>
          <w:shd w:val="clear" w:color="auto" w:fill="auto"/>
        </w:rPr>
        <w:t>4.3货物出运后</w:t>
      </w:r>
      <w:r>
        <w:rPr>
          <w:rFonts w:hint="eastAsia" w:ascii="宋体" w:hAnsi="宋体" w:eastAsia="宋体" w:cs="宋体"/>
          <w:sz w:val="24"/>
          <w:szCs w:val="24"/>
          <w:shd w:val="clear" w:color="auto" w:fill="auto"/>
        </w:rPr>
        <w:t>单据制作和审核的“五一致”和“五要求”</w:t>
      </w:r>
    </w:p>
    <w:p>
      <w:pPr>
        <w:widowControl/>
        <w:shd w:val="clear" w:color="auto" w:fill="auto"/>
        <w:wordWrap/>
        <w:adjustRightInd/>
        <w:snapToGrid/>
        <w:spacing w:line="360" w:lineRule="auto"/>
        <w:ind w:left="567" w:leftChars="270" w:right="0"/>
        <w:jc w:val="left"/>
        <w:rPr>
          <w:rFonts w:hint="eastAsia" w:ascii="宋体" w:hAnsi="宋体" w:eastAsia="宋体" w:cs="宋体"/>
          <w:color w:val="333333"/>
          <w:spacing w:val="6"/>
          <w:sz w:val="24"/>
          <w:szCs w:val="24"/>
          <w:shd w:val="clear" w:color="auto" w:fill="auto"/>
        </w:rPr>
      </w:pPr>
      <w:r>
        <w:rPr>
          <w:rFonts w:hint="eastAsia" w:ascii="宋体" w:hAnsi="宋体" w:eastAsia="宋体" w:cs="宋体"/>
          <w:color w:val="000000"/>
          <w:kern w:val="0"/>
          <w:sz w:val="24"/>
          <w:szCs w:val="24"/>
          <w:shd w:val="clear" w:color="auto" w:fill="auto"/>
        </w:rPr>
        <w:t>4.4 及时</w:t>
      </w:r>
      <w:r>
        <w:rPr>
          <w:rFonts w:hint="eastAsia" w:ascii="宋体" w:hAnsi="宋体" w:eastAsia="宋体" w:cs="宋体"/>
          <w:kern w:val="0"/>
          <w:sz w:val="24"/>
          <w:szCs w:val="24"/>
          <w:shd w:val="clear" w:color="auto" w:fill="auto"/>
        </w:rPr>
        <w:t>交单</w:t>
      </w:r>
    </w:p>
    <w:p>
      <w:pPr>
        <w:pStyle w:val="24"/>
        <w:shd w:val="clear" w:color="auto" w:fill="auto"/>
        <w:wordWrap/>
        <w:adjustRightInd/>
        <w:snapToGrid/>
        <w:spacing w:before="0" w:beforeAutospacing="0" w:after="0" w:afterAutospacing="0" w:line="360" w:lineRule="auto"/>
        <w:ind w:left="567" w:leftChars="270" w:right="0"/>
        <w:rPr>
          <w:rFonts w:hint="eastAsia" w:ascii="宋体" w:hAnsi="宋体" w:eastAsia="宋体" w:cs="宋体"/>
          <w:color w:val="000000"/>
          <w:sz w:val="24"/>
          <w:szCs w:val="24"/>
          <w:shd w:val="clear" w:color="auto" w:fill="auto"/>
        </w:rPr>
      </w:pPr>
      <w:r>
        <w:rPr>
          <w:rFonts w:hint="eastAsia" w:ascii="宋体" w:hAnsi="宋体" w:eastAsia="宋体" w:cs="宋体"/>
          <w:color w:val="000000"/>
          <w:spacing w:val="16"/>
          <w:sz w:val="24"/>
          <w:szCs w:val="24"/>
          <w:shd w:val="clear" w:color="auto" w:fill="auto"/>
        </w:rPr>
        <w:t>4.5 信用证常见不符点:</w:t>
      </w:r>
    </w:p>
    <w:p>
      <w:pPr>
        <w:widowControl/>
        <w:tabs>
          <w:tab w:val="left" w:pos="6405"/>
        </w:tabs>
        <w:wordWrap/>
        <w:adjustRightInd/>
        <w:snapToGrid/>
        <w:spacing w:line="360" w:lineRule="auto"/>
        <w:ind w:left="567" w:leftChars="270" w:right="0"/>
        <w:jc w:val="left"/>
        <w:rPr>
          <w:rFonts w:hint="eastAsia" w:ascii="宋体" w:hAnsi="宋体" w:eastAsia="宋体" w:cs="宋体"/>
          <w:color w:val="000000"/>
          <w:spacing w:val="13"/>
          <w:sz w:val="24"/>
          <w:szCs w:val="24"/>
        </w:rPr>
      </w:pPr>
      <w:r>
        <w:rPr>
          <w:rFonts w:hint="eastAsia" w:ascii="宋体" w:hAnsi="宋体" w:eastAsia="宋体" w:cs="宋体"/>
          <w:color w:val="000000"/>
          <w:spacing w:val="13"/>
          <w:sz w:val="24"/>
          <w:szCs w:val="24"/>
        </w:rPr>
        <w:t>4.6 信用证不符点产生的原因及预防</w:t>
      </w:r>
    </w:p>
    <w:p>
      <w:pPr>
        <w:widowControl/>
        <w:tabs>
          <w:tab w:val="left" w:pos="6405"/>
        </w:tabs>
        <w:wordWrap/>
        <w:adjustRightInd/>
        <w:snapToGrid/>
        <w:spacing w:line="360" w:lineRule="auto"/>
        <w:ind w:right="0"/>
        <w:jc w:val="left"/>
        <w:rPr>
          <w:rFonts w:hint="eastAsia" w:ascii="宋体" w:hAnsi="宋体" w:eastAsia="宋体" w:cs="宋体"/>
          <w:color w:val="000000"/>
          <w:spacing w:val="13"/>
          <w:sz w:val="24"/>
          <w:szCs w:val="24"/>
        </w:rPr>
      </w:pP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4.7信用证不符点的处理：</w:t>
      </w:r>
      <w:r>
        <w:rPr>
          <w:rFonts w:hint="eastAsia" w:ascii="宋体" w:hAnsi="宋体" w:eastAsia="宋体" w:cs="宋体"/>
          <w:color w:val="000000"/>
          <w:spacing w:val="13"/>
          <w:sz w:val="24"/>
          <w:szCs w:val="24"/>
        </w:rPr>
        <w:t>认真审核开证行所提不符点是否成立</w:t>
      </w:r>
    </w:p>
    <w:p>
      <w:pPr>
        <w:pStyle w:val="25"/>
        <w:widowControl/>
        <w:numPr>
          <w:ilvl w:val="0"/>
          <w:numId w:val="2"/>
        </w:numPr>
        <w:wordWrap/>
        <w:adjustRightInd/>
        <w:snapToGrid/>
        <w:spacing w:line="360" w:lineRule="auto"/>
        <w:ind w:left="1701" w:right="0" w:firstLineChars="0"/>
        <w:jc w:val="left"/>
        <w:rPr>
          <w:rFonts w:hint="eastAsia" w:ascii="宋体" w:hAnsi="宋体" w:eastAsia="宋体" w:cs="宋体"/>
          <w:kern w:val="0"/>
          <w:sz w:val="24"/>
          <w:szCs w:val="24"/>
        </w:rPr>
      </w:pPr>
      <w:r>
        <w:rPr>
          <w:rFonts w:hint="eastAsia" w:ascii="宋体" w:hAnsi="宋体" w:eastAsia="宋体" w:cs="宋体"/>
          <w:color w:val="000000"/>
          <w:spacing w:val="13"/>
          <w:sz w:val="24"/>
          <w:szCs w:val="24"/>
        </w:rPr>
        <w:t>若不符点确实成立，应该怎么处理</w:t>
      </w:r>
    </w:p>
    <w:p>
      <w:pPr>
        <w:pStyle w:val="25"/>
        <w:widowControl/>
        <w:wordWrap/>
        <w:adjustRightInd/>
        <w:snapToGrid/>
        <w:spacing w:line="360" w:lineRule="auto"/>
        <w:ind w:left="1341" w:right="0" w:firstLine="0" w:firstLineChars="0"/>
        <w:jc w:val="left"/>
        <w:rPr>
          <w:rFonts w:hint="eastAsia" w:ascii="宋体" w:hAnsi="宋体" w:eastAsia="宋体" w:cs="宋体"/>
          <w:kern w:val="0"/>
          <w:sz w:val="24"/>
          <w:szCs w:val="24"/>
        </w:rPr>
      </w:pPr>
      <w:r>
        <w:rPr>
          <w:rFonts w:hint="eastAsia" w:ascii="宋体" w:hAnsi="宋体" w:eastAsia="宋体" w:cs="宋体"/>
          <w:kern w:val="0"/>
          <w:sz w:val="24"/>
          <w:szCs w:val="24"/>
        </w:rPr>
        <w:t>2）若不符点确实不成立有纠纷，应该怎么处理</w:t>
      </w:r>
    </w:p>
    <w:p>
      <w:pPr>
        <w:widowControl/>
        <w:shd w:val="clear" w:color="auto" w:fill="auto"/>
        <w:wordWrap/>
        <w:adjustRightInd/>
        <w:snapToGrid/>
        <w:spacing w:line="360" w:lineRule="auto"/>
        <w:ind w:right="0" w:firstLine="525" w:firstLineChars="250"/>
        <w:jc w:val="left"/>
        <w:rPr>
          <w:rFonts w:hint="eastAsia" w:ascii="宋体" w:hAnsi="宋体" w:eastAsia="宋体" w:cs="宋体"/>
          <w:color w:val="000000"/>
          <w:kern w:val="0"/>
          <w:sz w:val="24"/>
          <w:szCs w:val="24"/>
        </w:rPr>
      </w:pPr>
      <w:r>
        <w:rPr>
          <w:rFonts w:hint="eastAsia" w:ascii="宋体" w:hAnsi="宋体" w:eastAsia="宋体" w:cs="宋体"/>
          <w:sz w:val="24"/>
          <w:szCs w:val="24"/>
        </w:rPr>
        <w:t>4.8</w:t>
      </w:r>
      <w:r>
        <w:rPr>
          <w:rFonts w:hint="eastAsia" w:ascii="宋体" w:hAnsi="宋体" w:eastAsia="宋体" w:cs="宋体"/>
          <w:color w:val="000000"/>
          <w:kern w:val="0"/>
          <w:sz w:val="24"/>
          <w:szCs w:val="24"/>
        </w:rPr>
        <w:t xml:space="preserve">信用证欺诈与法院止付令    </w:t>
      </w:r>
    </w:p>
    <w:p>
      <w:pPr>
        <w:widowControl/>
        <w:shd w:val="clear" w:color="auto" w:fill="auto"/>
        <w:wordWrap/>
        <w:adjustRightInd/>
        <w:snapToGrid/>
        <w:spacing w:line="360" w:lineRule="auto"/>
        <w:ind w:right="0" w:firstLine="525" w:firstLineChars="250"/>
        <w:jc w:val="left"/>
        <w:rPr>
          <w:rFonts w:hint="eastAsia" w:ascii="宋体" w:hAnsi="宋体" w:eastAsia="宋体" w:cs="宋体"/>
          <w:sz w:val="24"/>
          <w:szCs w:val="24"/>
        </w:rPr>
      </w:pPr>
      <w:r>
        <w:rPr>
          <w:rFonts w:hint="eastAsia" w:ascii="宋体" w:hAnsi="宋体" w:eastAsia="宋体" w:cs="宋体"/>
          <w:sz w:val="24"/>
          <w:szCs w:val="24"/>
        </w:rPr>
        <w:t>4.9 信用证欺诈例外与信用证欺诈例外豁免</w:t>
      </w:r>
    </w:p>
    <w:p>
      <w:pPr>
        <w:widowControl/>
        <w:shd w:val="clear" w:color="auto" w:fill="auto"/>
        <w:wordWrap/>
        <w:adjustRightInd/>
        <w:snapToGrid/>
        <w:spacing w:line="360" w:lineRule="auto"/>
        <w:ind w:right="0" w:firstLine="525" w:firstLineChars="250"/>
        <w:jc w:val="left"/>
        <w:rPr>
          <w:rFonts w:hint="eastAsia" w:ascii="宋体" w:hAnsi="宋体" w:eastAsia="宋体" w:cs="宋体"/>
          <w:kern w:val="0"/>
          <w:sz w:val="24"/>
          <w:szCs w:val="24"/>
        </w:rPr>
      </w:pPr>
      <w:r>
        <w:rPr>
          <w:rFonts w:hint="eastAsia" w:ascii="宋体" w:hAnsi="宋体" w:eastAsia="宋体" w:cs="宋体"/>
          <w:kern w:val="0"/>
          <w:sz w:val="24"/>
          <w:szCs w:val="24"/>
        </w:rPr>
        <w:t>4.10信用证项下结汇方式</w:t>
      </w:r>
    </w:p>
    <w:p>
      <w:pPr>
        <w:widowControl/>
        <w:shd w:val="clear" w:color="auto" w:fill="auto"/>
        <w:wordWrap/>
        <w:adjustRightInd/>
        <w:snapToGrid/>
        <w:spacing w:line="360" w:lineRule="auto"/>
        <w:ind w:right="0" w:firstLine="525" w:firstLineChars="250"/>
        <w:jc w:val="left"/>
        <w:rPr>
          <w:rFonts w:hint="eastAsia" w:ascii="宋体" w:hAnsi="宋体" w:eastAsia="宋体" w:cs="宋体"/>
          <w:sz w:val="24"/>
          <w:szCs w:val="24"/>
        </w:rPr>
      </w:pPr>
      <w:r>
        <w:rPr>
          <w:rFonts w:hint="eastAsia" w:ascii="宋体" w:hAnsi="宋体" w:eastAsia="宋体" w:cs="宋体"/>
          <w:kern w:val="0"/>
          <w:sz w:val="24"/>
          <w:szCs w:val="24"/>
        </w:rPr>
        <w:t xml:space="preserve">4.11 </w:t>
      </w:r>
      <w:r>
        <w:rPr>
          <w:rFonts w:hint="eastAsia" w:ascii="宋体" w:hAnsi="宋体" w:eastAsia="宋体" w:cs="宋体"/>
          <w:sz w:val="24"/>
          <w:szCs w:val="24"/>
        </w:rPr>
        <w:t>信用证的主要风险及防范措施</w:t>
      </w:r>
    </w:p>
    <w:p>
      <w:pPr>
        <w:widowControl/>
        <w:shd w:val="clear" w:color="auto" w:fill="auto"/>
        <w:wordWrap/>
        <w:adjustRightInd/>
        <w:snapToGrid/>
        <w:spacing w:line="360" w:lineRule="auto"/>
        <w:ind w:left="141" w:leftChars="67" w:right="0"/>
        <w:jc w:val="left"/>
        <w:rPr>
          <w:rFonts w:hint="eastAsia" w:ascii="宋体" w:hAnsi="宋体" w:eastAsia="宋体" w:cs="宋体"/>
          <w:b/>
          <w:color w:val="3E3E3E"/>
          <w:kern w:val="0"/>
          <w:sz w:val="24"/>
          <w:szCs w:val="24"/>
        </w:rPr>
      </w:pPr>
      <w:r>
        <w:rPr>
          <w:rFonts w:hint="eastAsia" w:ascii="宋体" w:hAnsi="宋体" w:eastAsia="宋体" w:cs="宋体"/>
          <w:b/>
          <w:sz w:val="24"/>
          <w:szCs w:val="24"/>
        </w:rPr>
        <w:t>5．十八个信用证典型案例逐一解析:</w:t>
      </w:r>
    </w:p>
    <w:p>
      <w:pPr>
        <w:pStyle w:val="24"/>
        <w:shd w:val="clear" w:color="auto" w:fill="auto"/>
        <w:wordWrap/>
        <w:adjustRightInd/>
        <w:snapToGrid/>
        <w:spacing w:before="0" w:beforeAutospacing="0" w:after="0" w:afterAutospacing="0" w:line="360" w:lineRule="auto"/>
        <w:ind w:left="420" w:leftChars="200" w:right="0" w:firstLine="412" w:firstLineChars="196"/>
        <w:rPr>
          <w:rFonts w:hint="eastAsia" w:ascii="宋体" w:hAnsi="宋体" w:eastAsia="宋体" w:cs="宋体"/>
          <w:sz w:val="24"/>
          <w:szCs w:val="24"/>
        </w:rPr>
      </w:pPr>
      <w:r>
        <w:rPr>
          <w:rFonts w:hint="eastAsia" w:ascii="宋体" w:hAnsi="宋体" w:eastAsia="宋体" w:cs="宋体"/>
          <w:sz w:val="24"/>
          <w:szCs w:val="24"/>
        </w:rPr>
        <w:t>涵盖了信用证的几乎所有问题，通过十八个真实案例解析，</w:t>
      </w:r>
      <w:r>
        <w:rPr>
          <w:rFonts w:hint="eastAsia" w:ascii="宋体" w:hAnsi="宋体" w:eastAsia="宋体" w:cs="宋体"/>
          <w:color w:val="000000"/>
          <w:sz w:val="24"/>
          <w:szCs w:val="24"/>
        </w:rPr>
        <w:t>结合讲师二十多年</w:t>
      </w:r>
      <w:r>
        <w:rPr>
          <w:rFonts w:hint="eastAsia" w:ascii="宋体" w:hAnsi="宋体" w:eastAsia="宋体" w:cs="宋体"/>
          <w:color w:val="000000"/>
          <w:sz w:val="24"/>
          <w:szCs w:val="24"/>
          <w:shd w:val="clear" w:color="auto" w:fill="FFFFFF"/>
        </w:rPr>
        <w:t>扎实的外贸理论和丰富的实践经验，</w:t>
      </w:r>
      <w:r>
        <w:rPr>
          <w:rFonts w:hint="eastAsia" w:ascii="宋体" w:hAnsi="宋体" w:eastAsia="宋体" w:cs="宋体"/>
          <w:sz w:val="24"/>
          <w:szCs w:val="24"/>
        </w:rPr>
        <w:t>特意注重理论和实践紧密结合，寓理论于实践，学员印象深刻,茅塞顿开，迅速提升学员的信用证最新知识和使用水平。特别强调实战性实用性和可操作性。</w:t>
      </w:r>
    </w:p>
    <w:p>
      <w:pPr>
        <w:wordWrap/>
        <w:adjustRightInd/>
        <w:snapToGrid/>
        <w:spacing w:line="360" w:lineRule="auto"/>
        <w:ind w:right="0"/>
        <w:jc w:val="both"/>
        <w:rPr>
          <w:rFonts w:hint="eastAsia" w:ascii="宋体" w:hAnsi="宋体" w:eastAsia="宋体" w:cs="宋体"/>
          <w:b/>
          <w:bCs/>
          <w:color w:val="0000FF"/>
          <w:kern w:val="2"/>
          <w:sz w:val="24"/>
          <w:szCs w:val="24"/>
          <w:lang w:val="en-US" w:eastAsia="zh-CN" w:bidi="ar-SA"/>
        </w:rPr>
      </w:pPr>
      <w:r>
        <w:rPr>
          <w:rFonts w:hint="eastAsia" w:ascii="宋体" w:hAnsi="宋体" w:eastAsia="宋体" w:cs="宋体"/>
          <w:b/>
          <w:bCs/>
          <w:color w:val="0000FF"/>
          <w:kern w:val="2"/>
          <w:sz w:val="24"/>
          <w:szCs w:val="24"/>
          <w:lang w:val="en-US" w:eastAsia="zh-CN" w:bidi="ar-SA"/>
        </w:rPr>
        <w:t>【讲师简介】</w:t>
      </w:r>
      <w:r>
        <w:rPr>
          <w:rFonts w:hint="eastAsia" w:ascii="宋体" w:hAnsi="宋体" w:eastAsia="宋体" w:cs="宋体"/>
          <w:b/>
          <w:color w:val="3366FF"/>
          <w:sz w:val="24"/>
          <w:szCs w:val="24"/>
        </w:rPr>
        <w:t xml:space="preserve"> </w:t>
      </w:r>
      <w:r>
        <w:rPr>
          <w:rFonts w:hint="eastAsia" w:ascii="宋体" w:hAnsi="宋体" w:eastAsia="宋体" w:cs="宋体"/>
          <w:b/>
          <w:bCs/>
          <w:color w:val="0000FF"/>
          <w:kern w:val="2"/>
          <w:sz w:val="24"/>
          <w:szCs w:val="24"/>
          <w:lang w:val="en-US" w:eastAsia="zh-CN" w:bidi="ar-SA"/>
        </w:rPr>
        <w:t>李老师</w:t>
      </w:r>
    </w:p>
    <w:p>
      <w:pPr>
        <w:widowControl w:val="0"/>
        <w:wordWrap/>
        <w:adjustRightInd/>
        <w:snapToGrid/>
        <w:spacing w:line="360" w:lineRule="auto"/>
        <w:ind w:left="0" w:leftChars="0" w:right="0" w:firstLine="0" w:firstLineChars="0"/>
        <w:jc w:val="both"/>
        <w:textAlignment w:val="auto"/>
        <w:outlineLvl w:val="9"/>
        <w:rPr>
          <w:rFonts w:hint="eastAsia" w:ascii="宋体" w:hAnsi="宋体" w:cs="宋体"/>
          <w:sz w:val="24"/>
          <w:szCs w:val="24"/>
          <w:lang w:eastAsia="zh-CN"/>
        </w:rPr>
      </w:pPr>
      <w:r>
        <w:rPr>
          <w:rFonts w:hint="eastAsia" w:ascii="宋体" w:hAnsi="宋体" w:eastAsia="宋体" w:cs="宋体"/>
          <w:sz w:val="24"/>
          <w:szCs w:val="24"/>
        </w:rPr>
        <w:t>北京航空航天大学学士</w:t>
      </w:r>
      <w:r>
        <w:rPr>
          <w:rFonts w:hint="eastAsia" w:ascii="宋体" w:hAnsi="宋体" w:cs="宋体"/>
          <w:sz w:val="24"/>
          <w:szCs w:val="24"/>
          <w:lang w:eastAsia="zh-CN"/>
        </w:rPr>
        <w:t>，</w:t>
      </w:r>
      <w:r>
        <w:rPr>
          <w:rFonts w:hint="eastAsia" w:ascii="宋体" w:hAnsi="宋体" w:eastAsia="宋体" w:cs="宋体"/>
          <w:sz w:val="24"/>
          <w:szCs w:val="24"/>
        </w:rPr>
        <w:t>上海同济大学MBA</w:t>
      </w:r>
      <w:r>
        <w:rPr>
          <w:rFonts w:hint="eastAsia" w:ascii="宋体" w:hAnsi="宋体" w:cs="宋体"/>
          <w:sz w:val="24"/>
          <w:szCs w:val="24"/>
          <w:lang w:eastAsia="zh-CN"/>
        </w:rPr>
        <w:t>，</w:t>
      </w:r>
      <w:r>
        <w:rPr>
          <w:rFonts w:hint="eastAsia" w:ascii="宋体" w:hAnsi="宋体" w:eastAsia="宋体" w:cs="宋体"/>
          <w:sz w:val="24"/>
          <w:szCs w:val="24"/>
        </w:rPr>
        <w:t>商务部外贸发展局特聘讲师</w:t>
      </w:r>
      <w:r>
        <w:rPr>
          <w:rFonts w:hint="eastAsia" w:ascii="宋体" w:hAnsi="宋体" w:cs="宋体"/>
          <w:sz w:val="24"/>
          <w:szCs w:val="24"/>
          <w:lang w:eastAsia="zh-CN"/>
        </w:rPr>
        <w:t>。</w:t>
      </w:r>
    </w:p>
    <w:p>
      <w:pPr>
        <w:widowControl w:val="0"/>
        <w:wordWrap/>
        <w:adjustRightInd/>
        <w:snapToGrid/>
        <w:spacing w:line="360" w:lineRule="auto"/>
        <w:ind w:left="0" w:leftChars="0" w:right="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大型央企外贸事业部副总经理</w:t>
      </w:r>
      <w:r>
        <w:rPr>
          <w:rFonts w:hint="eastAsia" w:ascii="宋体" w:hAnsi="宋体" w:cs="宋体"/>
          <w:sz w:val="24"/>
          <w:szCs w:val="24"/>
          <w:lang w:eastAsia="zh-CN"/>
        </w:rPr>
        <w:t>，</w:t>
      </w:r>
      <w:r>
        <w:rPr>
          <w:rFonts w:hint="eastAsia" w:ascii="宋体" w:hAnsi="宋体" w:eastAsia="宋体" w:cs="宋体"/>
          <w:sz w:val="24"/>
          <w:szCs w:val="24"/>
        </w:rPr>
        <w:t>研究员级高级工程师</w:t>
      </w:r>
      <w:r>
        <w:rPr>
          <w:rFonts w:hint="eastAsia" w:ascii="宋体" w:hAnsi="宋体" w:cs="宋体"/>
          <w:sz w:val="24"/>
          <w:szCs w:val="24"/>
          <w:lang w:eastAsia="zh-CN"/>
        </w:rPr>
        <w:t>。</w:t>
      </w:r>
    </w:p>
    <w:p>
      <w:pPr>
        <w:widowControl w:val="0"/>
        <w:wordWrap/>
        <w:adjustRightInd/>
        <w:snapToGrid/>
        <w:spacing w:line="360" w:lineRule="auto"/>
        <w:ind w:left="0" w:leftChars="0" w:right="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中国早期一批认证的报关员、外销员，从事贸易工作二十多年，在大型央企历任出口部外贸业务员、业务经理、副总经理；具有丰富的进出口贸易实战经验；</w:t>
      </w:r>
    </w:p>
    <w:p>
      <w:pPr>
        <w:widowControl w:val="0"/>
        <w:wordWrap/>
        <w:adjustRightInd/>
        <w:snapToGrid/>
        <w:spacing w:line="360" w:lineRule="auto"/>
        <w:ind w:left="0" w:leftChars="0" w:right="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李老师企业实践经验丰富，注重理论与实践紧密结合，授课注重实战性、实用性、可操作性。</w:t>
      </w:r>
    </w:p>
    <w:p>
      <w:pPr>
        <w:widowControl w:val="0"/>
        <w:wordWrap/>
        <w:adjustRightInd/>
        <w:snapToGrid/>
        <w:spacing w:line="360" w:lineRule="auto"/>
        <w:ind w:left="0" w:leftChars="0" w:right="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李老师长期潜心研究国内企业的国际贸易业务中存在的问题和解决方案及其发展战略，定期被商务部外贸司邀请去进出口企业授课培训外贸团队和规划企业的长期进出口战略和短期进出口策略，解决了进出口企业遇到的外贸难题。</w:t>
      </w:r>
    </w:p>
    <w:p>
      <w:pPr>
        <w:widowControl w:val="0"/>
        <w:wordWrap/>
        <w:adjustRightInd/>
        <w:snapToGrid/>
        <w:spacing w:line="360" w:lineRule="auto"/>
        <w:ind w:left="0" w:leftChars="0" w:right="0" w:firstLine="0" w:firstLineChars="0"/>
        <w:jc w:val="both"/>
        <w:textAlignment w:val="auto"/>
        <w:outlineLvl w:val="9"/>
        <w:rPr>
          <w:rFonts w:hint="eastAsia" w:ascii="宋体" w:hAnsi="宋体" w:eastAsia="宋体" w:cs="宋体"/>
          <w:sz w:val="24"/>
          <w:szCs w:val="24"/>
        </w:rPr>
      </w:pPr>
    </w:p>
    <w:p>
      <w:pPr>
        <w:spacing w:line="360" w:lineRule="auto"/>
        <w:rPr>
          <w:rFonts w:hint="eastAsia" w:ascii="宋体" w:hAnsi="宋体"/>
          <w:bCs/>
          <w:szCs w:val="21"/>
        </w:rPr>
      </w:pPr>
      <w:r>
        <w:rPr>
          <w:rFonts w:hint="eastAsia" w:ascii="宋体" w:hAnsi="宋体" w:eastAsia="宋体" w:cs="Times New Roman"/>
          <w:b/>
          <w:bCs/>
          <w:color w:val="0000FF"/>
          <w:kern w:val="2"/>
          <w:sz w:val="24"/>
          <w:szCs w:val="24"/>
          <w:lang w:val="en-US" w:eastAsia="zh-CN" w:bidi="ar-SA"/>
        </w:rPr>
        <w:t>【培训对象】</w:t>
      </w:r>
      <w:r>
        <w:rPr>
          <w:rFonts w:hint="eastAsia" w:ascii="宋体" w:hAnsi="宋体"/>
          <w:bCs/>
          <w:szCs w:val="21"/>
        </w:rPr>
        <w:t>外贸总监、外贸经理、外销员，单证员，外贸从业人员等</w:t>
      </w:r>
    </w:p>
    <w:p>
      <w:pPr>
        <w:spacing w:line="360" w:lineRule="auto"/>
        <w:rPr>
          <w:rFonts w:ascii="宋体" w:hAnsi="宋体" w:cs="宋体"/>
          <w:color w:val="222222"/>
          <w:sz w:val="24"/>
          <w:szCs w:val="24"/>
        </w:rPr>
      </w:pPr>
      <w:r>
        <w:rPr>
          <w:rFonts w:hint="eastAsia" w:ascii="宋体" w:hAnsi="宋体" w:eastAsia="宋体" w:cs="Times New Roman"/>
          <w:b/>
          <w:bCs/>
          <w:color w:val="0000FF"/>
          <w:kern w:val="2"/>
          <w:sz w:val="24"/>
          <w:szCs w:val="24"/>
          <w:lang w:val="en-US" w:eastAsia="zh-CN" w:bidi="ar-SA"/>
        </w:rPr>
        <w:t>【培训时间】</w:t>
      </w:r>
      <w:r>
        <w:rPr>
          <w:rFonts w:hint="eastAsia" w:ascii="微软雅黑" w:hAnsi="微软雅黑" w:eastAsia="微软雅黑" w:cs="Arial"/>
          <w:color w:val="000000"/>
        </w:rPr>
        <w:t>2015年</w:t>
      </w:r>
      <w:r>
        <w:rPr>
          <w:rFonts w:hint="eastAsia" w:ascii="微软雅黑" w:hAnsi="微软雅黑" w:eastAsia="微软雅黑" w:cs="Arial"/>
          <w:color w:val="000000"/>
          <w:lang w:val="en-US" w:eastAsia="zh-CN"/>
        </w:rPr>
        <w:t>11</w:t>
      </w:r>
      <w:r>
        <w:rPr>
          <w:rFonts w:hint="eastAsia" w:ascii="微软雅黑" w:hAnsi="微软雅黑" w:eastAsia="微软雅黑" w:cs="Arial"/>
          <w:color w:val="000000"/>
        </w:rPr>
        <w:t>月</w:t>
      </w:r>
      <w:r>
        <w:rPr>
          <w:rFonts w:hint="eastAsia" w:ascii="微软雅黑" w:hAnsi="微软雅黑" w:eastAsia="微软雅黑" w:cs="Arial"/>
          <w:color w:val="000000"/>
          <w:lang w:val="en-US" w:eastAsia="zh-CN"/>
        </w:rPr>
        <w:t>12</w:t>
      </w:r>
      <w:r>
        <w:rPr>
          <w:rFonts w:hint="eastAsia" w:ascii="微软雅黑" w:hAnsi="微软雅黑" w:eastAsia="微软雅黑" w:cs="Arial"/>
          <w:color w:val="000000"/>
        </w:rPr>
        <w:t>日（星期四）   09:30-12:30  14:00-17:00</w:t>
      </w:r>
    </w:p>
    <w:p>
      <w:pPr>
        <w:spacing w:line="360" w:lineRule="auto"/>
        <w:rPr>
          <w:rStyle w:val="7"/>
          <w:rFonts w:ascii="宋体" w:hAnsi="宋体" w:cs="宋体"/>
          <w:color w:val="FF0000"/>
          <w:sz w:val="24"/>
          <w:szCs w:val="24"/>
        </w:rPr>
      </w:pPr>
      <w:r>
        <w:rPr>
          <w:rFonts w:hint="eastAsia" w:ascii="宋体" w:hAnsi="宋体" w:eastAsia="宋体" w:cs="Times New Roman"/>
          <w:b/>
          <w:bCs/>
          <w:color w:val="0000FF"/>
          <w:kern w:val="2"/>
          <w:sz w:val="24"/>
          <w:szCs w:val="24"/>
          <w:lang w:val="en-US" w:eastAsia="zh-CN" w:bidi="ar-SA"/>
        </w:rPr>
        <w:t>【培训地点】</w:t>
      </w:r>
      <w:r>
        <w:rPr>
          <w:rStyle w:val="7"/>
          <w:rFonts w:hint="eastAsia" w:ascii="宋体" w:hAnsi="宋体" w:cs="宋体"/>
          <w:color w:val="FF0000"/>
          <w:sz w:val="24"/>
          <w:szCs w:val="24"/>
        </w:rPr>
        <w:t xml:space="preserve">深圳市福田区上步中路1001深圳科技大厦2楼会议室 </w:t>
      </w:r>
    </w:p>
    <w:p>
      <w:pPr>
        <w:adjustRightInd w:val="0"/>
        <w:snapToGrid w:val="0"/>
        <w:spacing w:line="400" w:lineRule="exact"/>
        <w:rPr>
          <w:rFonts w:ascii="宋体" w:hAnsi="宋体" w:cs="宋体"/>
          <w:color w:val="222222"/>
          <w:sz w:val="24"/>
          <w:szCs w:val="24"/>
          <w:highlight w:val="yellow"/>
        </w:rPr>
      </w:pPr>
      <w:r>
        <w:rPr>
          <w:rFonts w:hint="eastAsia" w:ascii="宋体" w:hAnsi="宋体" w:eastAsia="宋体" w:cs="Times New Roman"/>
          <w:b/>
          <w:bCs/>
          <w:color w:val="0000FF"/>
          <w:kern w:val="2"/>
          <w:sz w:val="24"/>
          <w:szCs w:val="24"/>
          <w:lang w:val="en-US" w:eastAsia="zh-CN" w:bidi="ar-SA"/>
        </w:rPr>
        <w:t>【培训费用】</w:t>
      </w:r>
      <w:r>
        <w:rPr>
          <w:rFonts w:hint="eastAsia" w:ascii="微软雅黑" w:hAnsi="微软雅黑" w:eastAsia="微软雅黑" w:cs="Arial"/>
          <w:color w:val="000000"/>
          <w:highlight w:val="yellow"/>
          <w:lang w:eastAsia="zh-CN"/>
        </w:rPr>
        <w:t>会员企业免费，一家企业限报</w:t>
      </w:r>
      <w:r>
        <w:rPr>
          <w:rFonts w:hint="eastAsia" w:ascii="微软雅黑" w:hAnsi="微软雅黑" w:eastAsia="微软雅黑" w:cs="Arial"/>
          <w:color w:val="000000"/>
          <w:highlight w:val="yellow"/>
          <w:lang w:val="en-US" w:eastAsia="zh-CN"/>
        </w:rPr>
        <w:t>2人。限额100人，先报先得。</w:t>
      </w:r>
      <w:bookmarkStart w:id="0" w:name="_GoBack"/>
      <w:bookmarkEnd w:id="0"/>
    </w:p>
    <w:p>
      <w:pPr>
        <w:spacing w:line="360" w:lineRule="auto"/>
        <w:rPr>
          <w:rFonts w:hint="eastAsia" w:ascii="宋体" w:hAnsi="宋体" w:eastAsia="宋体" w:cs="Times New Roman"/>
          <w:b/>
          <w:bCs/>
          <w:color w:val="0000FF"/>
          <w:kern w:val="2"/>
          <w:sz w:val="24"/>
          <w:szCs w:val="24"/>
          <w:lang w:val="en-US" w:eastAsia="zh-CN" w:bidi="ar-SA"/>
        </w:rPr>
      </w:pPr>
      <w:r>
        <w:rPr>
          <w:rFonts w:hint="eastAsia" w:ascii="宋体" w:hAnsi="宋体" w:eastAsia="宋体" w:cs="Times New Roman"/>
          <w:b/>
          <w:bCs/>
          <w:color w:val="0000FF"/>
          <w:kern w:val="2"/>
          <w:sz w:val="24"/>
          <w:szCs w:val="24"/>
          <w:lang w:val="en-US" w:eastAsia="zh-CN" w:bidi="ar-SA"/>
        </w:rPr>
        <w:t>【咨询窗口】</w:t>
      </w:r>
      <w:r>
        <w:rPr>
          <w:rFonts w:hint="eastAsia" w:ascii="宋体" w:hAnsi="宋体" w:cs="Arial"/>
          <w:color w:val="222222"/>
          <w:sz w:val="24"/>
        </w:rPr>
        <w:t xml:space="preserve">刘老师/章老师：0755—83699382 0755-83699014 </w:t>
      </w:r>
      <w:r>
        <w:rPr>
          <w:rFonts w:hint="eastAsia" w:ascii="宋体" w:hAnsi="宋体" w:cs="Arial"/>
          <w:color w:val="222222"/>
          <w:sz w:val="24"/>
        </w:rPr>
        <w:br/>
      </w:r>
      <w:r>
        <w:rPr>
          <w:rFonts w:hint="eastAsia" w:ascii="宋体" w:hAnsi="宋体" w:eastAsia="宋体" w:cs="Times New Roman"/>
          <w:b/>
          <w:bCs/>
          <w:color w:val="0000FF"/>
          <w:kern w:val="2"/>
          <w:sz w:val="24"/>
          <w:szCs w:val="24"/>
          <w:lang w:val="en-US" w:eastAsia="zh-CN" w:bidi="ar-SA"/>
        </w:rPr>
        <w:t>【参与方式】</w:t>
      </w:r>
    </w:p>
    <w:p>
      <w:pPr>
        <w:spacing w:line="360" w:lineRule="auto"/>
        <w:rPr>
          <w:rFonts w:ascii="宋体" w:hAnsi="宋体" w:cs="宋体"/>
          <w:color w:val="222222"/>
          <w:sz w:val="24"/>
          <w:szCs w:val="24"/>
        </w:rPr>
      </w:pPr>
      <w:r>
        <w:rPr>
          <w:rFonts w:hint="eastAsia" w:ascii="宋体" w:hAnsi="宋体" w:cs="Arial"/>
          <w:color w:val="222222"/>
          <w:sz w:val="24"/>
        </w:rPr>
        <w:t>请下载并填写报名回执邮电至：</w:t>
      </w:r>
      <w:r>
        <w:rPr>
          <w:rFonts w:hint="eastAsia" w:ascii="宋体" w:hAnsi="宋体" w:cs="Arial"/>
          <w:color w:val="222222"/>
          <w:sz w:val="24"/>
          <w:lang w:val="en-US" w:eastAsia="zh-CN"/>
        </w:rPr>
        <w:fldChar w:fldCharType="begin"/>
      </w:r>
      <w:r>
        <w:rPr>
          <w:rFonts w:hint="eastAsia" w:ascii="宋体" w:hAnsi="宋体" w:cs="Arial"/>
          <w:color w:val="222222"/>
          <w:sz w:val="24"/>
          <w:lang w:val="en-US" w:eastAsia="zh-CN"/>
        </w:rPr>
        <w:instrText xml:space="preserve">HYPERLINK "mailto:liutt@hi-tech.org.cn" </w:instrText>
      </w:r>
      <w:r>
        <w:rPr>
          <w:rFonts w:hint="eastAsia" w:ascii="宋体" w:hAnsi="宋体" w:cs="Arial"/>
          <w:color w:val="222222"/>
          <w:sz w:val="24"/>
          <w:lang w:val="en-US" w:eastAsia="zh-CN"/>
        </w:rPr>
        <w:fldChar w:fldCharType="separate"/>
      </w:r>
      <w:r>
        <w:rPr>
          <w:rFonts w:hint="eastAsia" w:ascii="宋体" w:hAnsi="宋体" w:cs="Arial"/>
          <w:color w:val="222222"/>
          <w:sz w:val="24"/>
          <w:lang w:val="en-US" w:eastAsia="zh-CN"/>
        </w:rPr>
        <w:t>liutt@hi-tech.org.cn</w:t>
      </w:r>
      <w:r>
        <w:rPr>
          <w:rFonts w:hint="eastAsia" w:ascii="宋体" w:hAnsi="宋体" w:cs="Arial"/>
          <w:color w:val="222222"/>
          <w:sz w:val="24"/>
          <w:lang w:val="en-US" w:eastAsia="zh-CN"/>
        </w:rPr>
        <w:fldChar w:fldCharType="end"/>
      </w:r>
      <w:r>
        <w:rPr>
          <w:rFonts w:hint="eastAsia" w:ascii="宋体" w:hAnsi="宋体" w:cs="Arial"/>
          <w:color w:val="222222"/>
          <w:sz w:val="24"/>
        </w:rPr>
        <w:t>或传真至：</w:t>
      </w:r>
      <w:r>
        <w:rPr>
          <w:rFonts w:hint="eastAsia" w:ascii="宋体" w:hAnsi="宋体" w:cs="Arial"/>
          <w:color w:val="222222"/>
          <w:sz w:val="24"/>
          <w:lang w:val="en-US" w:eastAsia="zh-CN"/>
        </w:rPr>
        <w:t>0755—83671211</w:t>
      </w:r>
      <w:r>
        <w:rPr>
          <w:rFonts w:hint="eastAsia" w:ascii="宋体" w:hAnsi="宋体" w:eastAsia="宋体" w:cs="Times New Roman"/>
          <w:b/>
          <w:bCs/>
          <w:color w:val="0000FF"/>
          <w:kern w:val="2"/>
          <w:sz w:val="24"/>
          <w:szCs w:val="24"/>
          <w:lang w:val="en-US" w:eastAsia="zh-CN" w:bidi="ar-SA"/>
        </w:rPr>
        <w:br/>
      </w:r>
      <w:r>
        <w:rPr>
          <w:rFonts w:hint="eastAsia" w:ascii="宋体" w:hAnsi="宋体" w:eastAsia="宋体" w:cs="Times New Roman"/>
          <w:b/>
          <w:bCs/>
          <w:color w:val="0000FF"/>
          <w:kern w:val="2"/>
          <w:sz w:val="24"/>
          <w:szCs w:val="24"/>
          <w:lang w:val="en-US" w:eastAsia="zh-CN" w:bidi="ar-SA"/>
        </w:rPr>
        <w:t>【温馨提示】 报名后请致电培训部热线83699382与培训部确认，谢谢大家配合！</w:t>
      </w:r>
    </w:p>
    <w:sectPr>
      <w:headerReference r:id="rId4" w:type="default"/>
      <w:pgSz w:w="11907" w:h="16839"/>
      <w:pgMar w:top="0" w:right="926" w:bottom="1440" w:left="1260" w:header="0"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20B0604020202020204"/>
    <w:charset w:val="00"/>
    <w:family w:val="auto"/>
    <w:pitch w:val="default"/>
    <w:sig w:usb0="00000003"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隶书">
    <w:panose1 w:val="0201050906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left="8790" w:leftChars="1" w:hanging="8788" w:hangingChars="4882"/>
    </w:pPr>
    <w:r>
      <w:rPr>
        <w:rFonts w:hint="eastAsia"/>
      </w:rPr>
      <w:t xml:space="preserve">                                         </w:t>
    </w:r>
    <w:r>
      <w:rPr>
        <w:rFonts w:ascii="Calibri" w:hAnsi="Calibri" w:eastAsia="宋体" w:cs="Times New Roman"/>
        <w:kern w:val="2"/>
        <w:sz w:val="18"/>
        <w:szCs w:val="18"/>
        <w:lang w:val="en-US" w:eastAsia="zh-CN" w:bidi="ar-SA"/>
      </w:rPr>
      <w:pict>
        <v:shape id="图片 11" o:spid="_x0000_s1025" type="#_x0000_t75" style="height:57.75pt;width:300pt;rotation:0f;" o:ole="f" fillcolor="#FFFFFF" filled="f" o:preferrelative="t" stroked="f" coordorigin="0,0" coordsize="21600,21600">
          <v:fill on="f" color2="#FFFFFF" focus="0%"/>
          <v:imagedata gain="65536f" blacklevel="0f" gamma="0" o:title="图片1" r:id="rId1"/>
          <o:lock v:ext="edit" position="f" selection="f" grouping="f" rotation="f" cropping="f" text="f" aspectratio="t"/>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5932953">
    <w:nsid w:val="562F2F99"/>
    <w:multiLevelType w:val="singleLevel"/>
    <w:tmpl w:val="562F2F99"/>
    <w:lvl w:ilvl="0" w:tentative="1">
      <w:start w:val="1"/>
      <w:numFmt w:val="decimal"/>
      <w:suff w:val="nothing"/>
      <w:lvlText w:val="%1."/>
      <w:lvlJc w:val="left"/>
    </w:lvl>
  </w:abstractNum>
  <w:abstractNum w:abstractNumId="199362480">
    <w:nsid w:val="0BE207B0"/>
    <w:multiLevelType w:val="multilevel"/>
    <w:tmpl w:val="0BE207B0"/>
    <w:lvl w:ilvl="0" w:tentative="1">
      <w:start w:val="1"/>
      <w:numFmt w:val="decimal"/>
      <w:lvlText w:val="%1）"/>
      <w:lvlJc w:val="left"/>
      <w:pPr>
        <w:ind w:left="1633" w:hanging="360"/>
      </w:pPr>
      <w:rPr>
        <w:rFonts w:hint="default" w:cs="Times New Roman"/>
      </w:rPr>
    </w:lvl>
    <w:lvl w:ilvl="1" w:tentative="1">
      <w:start w:val="1"/>
      <w:numFmt w:val="lowerLetter"/>
      <w:lvlText w:val="%2)"/>
      <w:lvlJc w:val="left"/>
      <w:pPr>
        <w:ind w:left="2113" w:hanging="420"/>
      </w:pPr>
      <w:rPr>
        <w:rFonts w:cs="Times New Roman"/>
      </w:rPr>
    </w:lvl>
    <w:lvl w:ilvl="2" w:tentative="1">
      <w:start w:val="1"/>
      <w:numFmt w:val="lowerRoman"/>
      <w:lvlText w:val="%3."/>
      <w:lvlJc w:val="right"/>
      <w:pPr>
        <w:ind w:left="2533" w:hanging="420"/>
      </w:pPr>
      <w:rPr>
        <w:rFonts w:cs="Times New Roman"/>
      </w:rPr>
    </w:lvl>
    <w:lvl w:ilvl="3" w:tentative="1">
      <w:start w:val="1"/>
      <w:numFmt w:val="decimal"/>
      <w:lvlText w:val="%4."/>
      <w:lvlJc w:val="left"/>
      <w:pPr>
        <w:ind w:left="2953" w:hanging="420"/>
      </w:pPr>
      <w:rPr>
        <w:rFonts w:cs="Times New Roman"/>
      </w:rPr>
    </w:lvl>
    <w:lvl w:ilvl="4" w:tentative="1">
      <w:start w:val="1"/>
      <w:numFmt w:val="lowerLetter"/>
      <w:lvlText w:val="%5)"/>
      <w:lvlJc w:val="left"/>
      <w:pPr>
        <w:ind w:left="3373" w:hanging="420"/>
      </w:pPr>
      <w:rPr>
        <w:rFonts w:cs="Times New Roman"/>
      </w:rPr>
    </w:lvl>
    <w:lvl w:ilvl="5" w:tentative="1">
      <w:start w:val="1"/>
      <w:numFmt w:val="lowerRoman"/>
      <w:lvlText w:val="%6."/>
      <w:lvlJc w:val="right"/>
      <w:pPr>
        <w:ind w:left="3793" w:hanging="420"/>
      </w:pPr>
      <w:rPr>
        <w:rFonts w:cs="Times New Roman"/>
      </w:rPr>
    </w:lvl>
    <w:lvl w:ilvl="6" w:tentative="1">
      <w:start w:val="1"/>
      <w:numFmt w:val="decimal"/>
      <w:lvlText w:val="%7."/>
      <w:lvlJc w:val="left"/>
      <w:pPr>
        <w:ind w:left="4213" w:hanging="420"/>
      </w:pPr>
      <w:rPr>
        <w:rFonts w:cs="Times New Roman"/>
      </w:rPr>
    </w:lvl>
    <w:lvl w:ilvl="7" w:tentative="1">
      <w:start w:val="1"/>
      <w:numFmt w:val="lowerLetter"/>
      <w:lvlText w:val="%8)"/>
      <w:lvlJc w:val="left"/>
      <w:pPr>
        <w:ind w:left="4633" w:hanging="420"/>
      </w:pPr>
      <w:rPr>
        <w:rFonts w:cs="Times New Roman"/>
      </w:rPr>
    </w:lvl>
    <w:lvl w:ilvl="8" w:tentative="1">
      <w:start w:val="1"/>
      <w:numFmt w:val="lowerRoman"/>
      <w:lvlText w:val="%9."/>
      <w:lvlJc w:val="right"/>
      <w:pPr>
        <w:ind w:left="5053" w:hanging="420"/>
      </w:pPr>
      <w:rPr>
        <w:rFonts w:cs="Times New Roman"/>
      </w:rPr>
    </w:lvl>
  </w:abstractNum>
  <w:num w:numId="1">
    <w:abstractNumId w:val="1445932953"/>
  </w:num>
  <w:num w:numId="2">
    <w:abstractNumId w:val="1993624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splitPgBreakAndParaMark/>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74DB7"/>
    <w:rsid w:val="00020A1E"/>
    <w:rsid w:val="00037EC2"/>
    <w:rsid w:val="000442EC"/>
    <w:rsid w:val="00044AF8"/>
    <w:rsid w:val="00077167"/>
    <w:rsid w:val="00143EB7"/>
    <w:rsid w:val="001D3C2E"/>
    <w:rsid w:val="001F2DA4"/>
    <w:rsid w:val="00260AE3"/>
    <w:rsid w:val="00287CBC"/>
    <w:rsid w:val="002A3B29"/>
    <w:rsid w:val="002A7F53"/>
    <w:rsid w:val="002D40DC"/>
    <w:rsid w:val="002E6589"/>
    <w:rsid w:val="002F1288"/>
    <w:rsid w:val="003057F6"/>
    <w:rsid w:val="00351C07"/>
    <w:rsid w:val="00354804"/>
    <w:rsid w:val="003A0BD0"/>
    <w:rsid w:val="003D11D7"/>
    <w:rsid w:val="003D1E6A"/>
    <w:rsid w:val="003D5849"/>
    <w:rsid w:val="00455BB4"/>
    <w:rsid w:val="00497ADD"/>
    <w:rsid w:val="004C4CCA"/>
    <w:rsid w:val="004D438F"/>
    <w:rsid w:val="004E1FFA"/>
    <w:rsid w:val="0050517F"/>
    <w:rsid w:val="00507350"/>
    <w:rsid w:val="00507DA2"/>
    <w:rsid w:val="005123A6"/>
    <w:rsid w:val="0053706F"/>
    <w:rsid w:val="00537529"/>
    <w:rsid w:val="00587595"/>
    <w:rsid w:val="00592510"/>
    <w:rsid w:val="00592AD9"/>
    <w:rsid w:val="005C2A8B"/>
    <w:rsid w:val="00643BE9"/>
    <w:rsid w:val="0066414D"/>
    <w:rsid w:val="006C068F"/>
    <w:rsid w:val="006D6982"/>
    <w:rsid w:val="00723839"/>
    <w:rsid w:val="007A7535"/>
    <w:rsid w:val="007B5E31"/>
    <w:rsid w:val="00850812"/>
    <w:rsid w:val="00894697"/>
    <w:rsid w:val="008A1562"/>
    <w:rsid w:val="00913283"/>
    <w:rsid w:val="00920405"/>
    <w:rsid w:val="0092696B"/>
    <w:rsid w:val="0096336E"/>
    <w:rsid w:val="009A58E3"/>
    <w:rsid w:val="00A52042"/>
    <w:rsid w:val="00A65103"/>
    <w:rsid w:val="00B104DC"/>
    <w:rsid w:val="00B2263B"/>
    <w:rsid w:val="00B30C66"/>
    <w:rsid w:val="00B63FDE"/>
    <w:rsid w:val="00B67D6E"/>
    <w:rsid w:val="00B902F1"/>
    <w:rsid w:val="00BC7C84"/>
    <w:rsid w:val="00BF16E5"/>
    <w:rsid w:val="00C36237"/>
    <w:rsid w:val="00C75AD4"/>
    <w:rsid w:val="00C80086"/>
    <w:rsid w:val="00C82883"/>
    <w:rsid w:val="00C90D93"/>
    <w:rsid w:val="00CA63CB"/>
    <w:rsid w:val="00CF30CD"/>
    <w:rsid w:val="00CF6283"/>
    <w:rsid w:val="00D00470"/>
    <w:rsid w:val="00D108DB"/>
    <w:rsid w:val="00D62B43"/>
    <w:rsid w:val="00D93055"/>
    <w:rsid w:val="00DA5027"/>
    <w:rsid w:val="00DB1030"/>
    <w:rsid w:val="00DD6C90"/>
    <w:rsid w:val="00DE3BD3"/>
    <w:rsid w:val="00DF1E3D"/>
    <w:rsid w:val="00E1355E"/>
    <w:rsid w:val="00E210BD"/>
    <w:rsid w:val="00E658C6"/>
    <w:rsid w:val="00ED53A3"/>
    <w:rsid w:val="00F02E3E"/>
    <w:rsid w:val="00F25F48"/>
    <w:rsid w:val="00F34500"/>
    <w:rsid w:val="00F36A95"/>
    <w:rsid w:val="00F53EC3"/>
    <w:rsid w:val="00F74DB7"/>
    <w:rsid w:val="00F8638C"/>
    <w:rsid w:val="00F864B6"/>
    <w:rsid w:val="014C132E"/>
    <w:rsid w:val="04BF41D9"/>
    <w:rsid w:val="060506B0"/>
    <w:rsid w:val="06A9177A"/>
    <w:rsid w:val="08E04C1D"/>
    <w:rsid w:val="08E1269F"/>
    <w:rsid w:val="09953447"/>
    <w:rsid w:val="0ABA57A8"/>
    <w:rsid w:val="0AD927DA"/>
    <w:rsid w:val="0C9927BA"/>
    <w:rsid w:val="0D0343E8"/>
    <w:rsid w:val="0E347FDD"/>
    <w:rsid w:val="10533DA4"/>
    <w:rsid w:val="10701B06"/>
    <w:rsid w:val="13E77B33"/>
    <w:rsid w:val="142D2826"/>
    <w:rsid w:val="1AAF4FD3"/>
    <w:rsid w:val="1DF11C2D"/>
    <w:rsid w:val="1FFE7B2C"/>
    <w:rsid w:val="21525AB7"/>
    <w:rsid w:val="228C7DBD"/>
    <w:rsid w:val="22AA736D"/>
    <w:rsid w:val="24215C55"/>
    <w:rsid w:val="248B7883"/>
    <w:rsid w:val="2637753E"/>
    <w:rsid w:val="26DF22D6"/>
    <w:rsid w:val="274C7086"/>
    <w:rsid w:val="29283114"/>
    <w:rsid w:val="29B4657B"/>
    <w:rsid w:val="2A0F5990"/>
    <w:rsid w:val="2A1E01A9"/>
    <w:rsid w:val="2B417007"/>
    <w:rsid w:val="2C0113A2"/>
    <w:rsid w:val="2C3C6E9F"/>
    <w:rsid w:val="2F3A210B"/>
    <w:rsid w:val="2FB01D49"/>
    <w:rsid w:val="3237046E"/>
    <w:rsid w:val="3304433F"/>
    <w:rsid w:val="33421C25"/>
    <w:rsid w:val="34FE6501"/>
    <w:rsid w:val="363D3A0D"/>
    <w:rsid w:val="36A54835"/>
    <w:rsid w:val="36E3211C"/>
    <w:rsid w:val="38321A3E"/>
    <w:rsid w:val="3B736697"/>
    <w:rsid w:val="3C39515C"/>
    <w:rsid w:val="3C762A42"/>
    <w:rsid w:val="3D2422BD"/>
    <w:rsid w:val="3D5F713C"/>
    <w:rsid w:val="3FDF057B"/>
    <w:rsid w:val="424469C5"/>
    <w:rsid w:val="4AB12FFB"/>
    <w:rsid w:val="4B9D671D"/>
    <w:rsid w:val="4CBF7AF9"/>
    <w:rsid w:val="4E005F07"/>
    <w:rsid w:val="4E6A7B35"/>
    <w:rsid w:val="4EB856B6"/>
    <w:rsid w:val="4EE53BFB"/>
    <w:rsid w:val="4FFF344E"/>
    <w:rsid w:val="50870DA9"/>
    <w:rsid w:val="508879B0"/>
    <w:rsid w:val="50C4668F"/>
    <w:rsid w:val="52360AEF"/>
    <w:rsid w:val="52D93B7C"/>
    <w:rsid w:val="52FA40B1"/>
    <w:rsid w:val="53211D72"/>
    <w:rsid w:val="53D10891"/>
    <w:rsid w:val="551A792E"/>
    <w:rsid w:val="55FE3424"/>
    <w:rsid w:val="5D6C6AD3"/>
    <w:rsid w:val="5D7C4B6F"/>
    <w:rsid w:val="62F8368F"/>
    <w:rsid w:val="644362BC"/>
    <w:rsid w:val="648C2404"/>
    <w:rsid w:val="652C0C88"/>
    <w:rsid w:val="655E275C"/>
    <w:rsid w:val="6BE85B99"/>
    <w:rsid w:val="6F7D69F9"/>
    <w:rsid w:val="6FE70627"/>
    <w:rsid w:val="70A37798"/>
    <w:rsid w:val="71AA5D09"/>
    <w:rsid w:val="73B415E2"/>
    <w:rsid w:val="74350C36"/>
    <w:rsid w:val="77583FB2"/>
    <w:rsid w:val="77DF61B9"/>
    <w:rsid w:val="78C42189"/>
    <w:rsid w:val="794C090E"/>
    <w:rsid w:val="7C5A1314"/>
    <w:rsid w:val="7D0E6DBB"/>
    <w:rsid w:val="7FF74280"/>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name="header"/>
    <w:lsdException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0" w:semiHidden="0" w:nam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unhideWhenUsed/>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tcPr>
      <w:textDirection w:val="lrTb"/>
    </w:tcPr>
  </w:style>
  <w:style w:type="paragraph" w:styleId="3">
    <w:name w:val="footer"/>
    <w:basedOn w:val="1"/>
    <w:link w:val="20"/>
    <w:semiHidden/>
    <w:uiPriority w:val="99"/>
    <w:pPr>
      <w:tabs>
        <w:tab w:val="center" w:pos="4153"/>
        <w:tab w:val="right" w:pos="8306"/>
      </w:tabs>
      <w:snapToGrid w:val="0"/>
      <w:jc w:val="left"/>
    </w:pPr>
    <w:rPr>
      <w:sz w:val="18"/>
      <w:szCs w:val="18"/>
    </w:rPr>
  </w:style>
  <w:style w:type="paragraph" w:styleId="4">
    <w:name w:val="header"/>
    <w:basedOn w:val="1"/>
    <w:link w:val="19"/>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locked/>
    <w:uiPriority w:val="0"/>
    <w:rPr>
      <w:b/>
      <w:bCs/>
    </w:rPr>
  </w:style>
  <w:style w:type="character" w:styleId="8">
    <w:name w:val="page number"/>
    <w:basedOn w:val="6"/>
    <w:unhideWhenUsed/>
    <w:uiPriority w:val="0"/>
    <w:rPr/>
  </w:style>
  <w:style w:type="character" w:styleId="9">
    <w:name w:val="Hyperlink"/>
    <w:basedOn w:val="6"/>
    <w:unhideWhenUsed/>
    <w:uiPriority w:val="0"/>
    <w:rPr>
      <w:color w:val="0000FF"/>
      <w:u w:val="single"/>
    </w:rPr>
  </w:style>
  <w:style w:type="paragraph" w:customStyle="1" w:styleId="11">
    <w:name w:val="列出段落1"/>
    <w:basedOn w:val="1"/>
    <w:qFormat/>
    <w:uiPriority w:val="99"/>
    <w:pPr>
      <w:ind w:firstLine="420" w:firstLineChars="200"/>
    </w:pPr>
  </w:style>
  <w:style w:type="paragraph" w:customStyle="1" w:styleId="12">
    <w:name w:val="列出段落2"/>
    <w:basedOn w:val="1"/>
    <w:uiPriority w:val="99"/>
    <w:pPr>
      <w:ind w:firstLine="420" w:firstLineChars="200"/>
    </w:pPr>
  </w:style>
  <w:style w:type="paragraph" w:customStyle="1" w:styleId="13">
    <w:name w:val="p0"/>
    <w:basedOn w:val="1"/>
    <w:uiPriority w:val="0"/>
    <w:pPr>
      <w:widowControl/>
    </w:pPr>
    <w:rPr>
      <w:rFonts w:cs="宋体"/>
      <w:kern w:val="0"/>
      <w:szCs w:val="21"/>
    </w:rPr>
  </w:style>
  <w:style w:type="paragraph" w:customStyle="1" w:styleId="14">
    <w:name w:val="列出段落3"/>
    <w:basedOn w:val="1"/>
    <w:uiPriority w:val="0"/>
    <w:pPr>
      <w:ind w:firstLine="420" w:firstLineChars="200"/>
    </w:pPr>
  </w:style>
  <w:style w:type="paragraph" w:customStyle="1" w:styleId="15">
    <w:name w:val="提纲正文"/>
    <w:basedOn w:val="1"/>
    <w:qFormat/>
    <w:uiPriority w:val="0"/>
    <w:pPr>
      <w:spacing w:line="360" w:lineRule="auto"/>
    </w:pPr>
    <w:rPr>
      <w:rFonts w:ascii="Arial" w:hAnsi="Arial" w:cs="宋体"/>
      <w:kern w:val="0"/>
      <w:sz w:val="20"/>
      <w:lang w:val="zh-CN"/>
    </w:rPr>
  </w:style>
  <w:style w:type="paragraph" w:customStyle="1" w:styleId="16">
    <w:name w:val="提纲3级"/>
    <w:basedOn w:val="1"/>
    <w:qFormat/>
    <w:uiPriority w:val="0"/>
    <w:pPr>
      <w:spacing w:line="360" w:lineRule="auto"/>
    </w:pPr>
    <w:rPr>
      <w:rFonts w:ascii="Arial" w:hAnsi="Arial"/>
      <w:kern w:val="0"/>
      <w:sz w:val="20"/>
      <w:szCs w:val="20"/>
    </w:rPr>
  </w:style>
  <w:style w:type="paragraph" w:customStyle="1" w:styleId="17">
    <w:name w:val="提纲2级"/>
    <w:basedOn w:val="1"/>
    <w:next w:val="1"/>
    <w:qFormat/>
    <w:uiPriority w:val="0"/>
    <w:pPr>
      <w:spacing w:line="360" w:lineRule="auto"/>
    </w:pPr>
    <w:rPr>
      <w:rFonts w:ascii="Arial" w:hAnsi="Arial"/>
      <w:kern w:val="0"/>
      <w:sz w:val="20"/>
      <w:szCs w:val="20"/>
    </w:rPr>
  </w:style>
  <w:style w:type="paragraph" w:styleId="18">
    <w:name w:val=""/>
    <w:basedOn w:val="1"/>
    <w:qFormat/>
    <w:uiPriority w:val="0"/>
    <w:pPr>
      <w:ind w:firstLine="420" w:firstLineChars="200"/>
    </w:pPr>
  </w:style>
  <w:style w:type="character" w:customStyle="1" w:styleId="19">
    <w:name w:val="页眉 Char"/>
    <w:basedOn w:val="6"/>
    <w:link w:val="4"/>
    <w:semiHidden/>
    <w:locked/>
    <w:uiPriority w:val="99"/>
    <w:rPr>
      <w:rFonts w:cs="Times New Roman"/>
      <w:sz w:val="18"/>
      <w:szCs w:val="18"/>
    </w:rPr>
  </w:style>
  <w:style w:type="character" w:customStyle="1" w:styleId="20">
    <w:name w:val="页脚 Char"/>
    <w:basedOn w:val="6"/>
    <w:link w:val="3"/>
    <w:semiHidden/>
    <w:locked/>
    <w:uiPriority w:val="99"/>
    <w:rPr>
      <w:rFonts w:cs="Times New Roman"/>
      <w:sz w:val="18"/>
      <w:szCs w:val="18"/>
    </w:rPr>
  </w:style>
  <w:style w:type="character" w:customStyle="1" w:styleId="21">
    <w:name w:val="Char Char1"/>
    <w:semiHidden/>
    <w:uiPriority w:val="99"/>
    <w:rPr>
      <w:sz w:val="18"/>
    </w:rPr>
  </w:style>
  <w:style w:type="character" w:customStyle="1" w:styleId="22">
    <w:name w:val="bold1"/>
    <w:basedOn w:val="6"/>
    <w:uiPriority w:val="99"/>
    <w:rPr>
      <w:rFonts w:cs="Times New Roman"/>
      <w:b/>
      <w:bCs/>
    </w:rPr>
  </w:style>
  <w:style w:type="character" w:customStyle="1" w:styleId="23">
    <w:name w:val="ask-title2"/>
    <w:basedOn w:val="6"/>
    <w:uiPriority w:val="99"/>
    <w:rPr>
      <w:rFonts w:cs="Times New Roman"/>
    </w:rPr>
  </w:style>
  <w:style w:type="paragraph" w:customStyle="1" w:styleId="24">
    <w:name w:val="reader-word-layer"/>
    <w:basedOn w:val="1"/>
    <w:uiPriority w:val="99"/>
    <w:pPr>
      <w:widowControl/>
      <w:spacing w:before="100" w:beforeAutospacing="1" w:after="100" w:afterAutospacing="1"/>
      <w:jc w:val="left"/>
    </w:pPr>
    <w:rPr>
      <w:rFonts w:ascii="宋体" w:hAnsi="宋体" w:cs="宋体"/>
      <w:kern w:val="0"/>
      <w:sz w:val="24"/>
    </w:rPr>
  </w:style>
  <w:style w:type="paragraph" w:customStyle="1" w:styleId="2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421</Words>
  <Characters>2403</Characters>
  <Lines>20</Lines>
  <Paragraphs>5</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2014-12-12T03:25:00Z</dcterms:created>
  <dc:creator>AutoBVT</dc:creator>
  <cp:lastModifiedBy>Administrator</cp:lastModifiedBy>
  <dcterms:modified xsi:type="dcterms:W3CDTF">2015-10-27T07:56:14Z</dcterms:modified>
  <dc:title>2015年公益研讨会二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