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5273"/>
        </w:tabs>
        <w:spacing w:line="360" w:lineRule="auto"/>
        <w:jc w:val="center"/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  <w:t>2015年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  <w:lang w:eastAsia="zh-CN"/>
        </w:rPr>
        <w:t>市场营销系列三</w:t>
      </w:r>
    </w:p>
    <w:p>
      <w:pPr>
        <w:tabs>
          <w:tab w:val="center" w:pos="5273"/>
        </w:tabs>
        <w:spacing w:line="360" w:lineRule="auto"/>
        <w:jc w:val="center"/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  <w:t>《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  <w:lang w:eastAsia="zh-CN"/>
        </w:rPr>
        <w:t>高科技企业精益营销之拿大单</w:t>
      </w:r>
      <w:r>
        <w:rPr>
          <w:rFonts w:hint="eastAsia" w:ascii="微软雅黑" w:hAnsi="微软雅黑" w:eastAsia="微软雅黑" w:cs="Arial"/>
          <w:b/>
          <w:bCs/>
          <w:color w:val="3366FF"/>
          <w:spacing w:val="6"/>
          <w:sz w:val="36"/>
          <w:szCs w:val="36"/>
        </w:rPr>
        <w:t>》</w:t>
      </w:r>
    </w:p>
    <w:p>
      <w:pPr>
        <w:tabs>
          <w:tab w:val="center" w:pos="5273"/>
        </w:tabs>
        <w:spacing w:line="360" w:lineRule="auto"/>
        <w:jc w:val="right"/>
        <w:rPr>
          <w:rFonts w:ascii="微软雅黑" w:hAnsi="微软雅黑" w:eastAsia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>限额100人</w:t>
      </w:r>
    </w:p>
    <w:p>
      <w:pPr>
        <w:widowControl w:val="0"/>
        <w:tabs>
          <w:tab w:val="center" w:pos="5273"/>
        </w:tabs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pacing w:val="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66FF"/>
          <w:spacing w:val="6"/>
          <w:sz w:val="24"/>
          <w:szCs w:val="24"/>
          <w:lang w:eastAsia="zh-CN"/>
        </w:rPr>
        <w:t>【课程说明】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为什么传统的策略越来越没有效果了？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为什么我们销售人员付出巨大，而收获却惨淡？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为什么我们跟的单子不少，而真正拿到的单子太少?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为什么别人能够轻松拿大单？而我却常常与大单无缘？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为什么？为什么？我们销售人员心中有太多的为什么？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精益营销将为您一一破解，精益营销将让您轻松掌握一套系统的打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法，让您在市场中披荆斩棘，轻松拿下大订单。</w:t>
      </w:r>
    </w:p>
    <w:p>
      <w:pPr>
        <w:widowControl w:val="0"/>
        <w:wordWrap/>
        <w:adjustRightInd/>
        <w:snapToGrid/>
        <w:spacing w:line="360" w:lineRule="auto"/>
        <w:ind w:right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【课程收益】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掌握高科技产品销售的基本规律，把握销售过程的关键环节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掌握高科技产品销售每一环节的关键成功要素和核心套路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掌握战前布局的核心策略，让我们赢在起跑线上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掌握关键决策角色分析策略，让我们处处赢的先机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掌握客户攻关的核心策略，提升销售人员客户攻关能力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掌握项目局势评估的关键技术，提升销售人员局面掌控力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掌握客户维护的关键步骤和关键要素，提升客户关系管理能力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leftChars="0"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3366FF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【课程特色】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训练有特色：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采取“现场辅导+工具落地+行动计划”的训练方式，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并以案例解读、小组讨论、多媒体演示、沙盘推演、情景互动等多种教学方式，让学员打开心门与老师一起思考、一起互动，寓教于乐。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讲师更实战：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讲师来自世界500强企业，15年一线操盘、营销管理与营销咨询的丰富经历，既有大量的成功经验，也有失败的经验教训。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工具可落地：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本体系近几年已经被200多家企业培训后落地推进，30家企业进行过咨询体系建设，全面提升了销售团队的销售成功概率。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成果可检测：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可以对学员参加训练前与参加训练后的“项目跟单成功率”进行先后对比，可进行训前与训后的成果检测。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  <w:t>【课程大纲】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 xml:space="preserve">第一部分：新常态下高科技企业的营销出路 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1、新常态下高科技企业营销的四大困惑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2、高科技企业营销发展的四大趋势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3、新常态下高科技营销人员五重境界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案例分享：罗格郎的销售冠军“张大拿”是如何炼成的？</w:t>
      </w:r>
    </w:p>
    <w:p>
      <w:pPr>
        <w:widowControl w:val="0"/>
        <w:wordWrap/>
        <w:adjustRightInd/>
        <w:snapToGrid/>
        <w:spacing w:before="156" w:beforeLines="50"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第二部分：客户采购流程与阶段关键成功要素解析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1、客户采购流程特征解析</w:t>
      </w:r>
    </w:p>
    <w:p>
      <w:pPr>
        <w:pStyle w:val="12"/>
        <w:widowControl w:val="0"/>
        <w:wordWrap/>
        <w:adjustRightInd/>
        <w:snapToGrid/>
        <w:spacing w:line="360" w:lineRule="auto"/>
        <w:ind w:left="360" w:right="0" w:firstLine="0" w:firstLineChars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案例讨论：客户采购每一步骤的“关键先生“在哪里？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2、客户开发进程与阶段关键成功要素梳理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1）、“信息收集，商机评估“阶段之关键评估要素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2）、“前期接触，策略布局“阶段之关键布局策略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3）、“需求挖掘，方案设计“阶段之关键需求认知 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4）、“技术交流，突显优势“阶段之关键壁垒策略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5）、“客户攻关，高层突破“阶段之关键攻关策略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6）、“内部评估，促成一致”阶段之关键联纵策略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7）、“合同执行，后期维护”阶段之客户忠诚策略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案例分享：烟台荏塬热工如何一年内将项目成功率从18%提升到37.2%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第三部分：战前布局与决胜关键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1、识别出客户内部最有价值的“内线”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2、找到内部的“结盟者”实现命运共同体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3、找到能够真正帮你赢单的“教练”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案例：100多万的单子，为什么飞了？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落地工具：《甄选内线四维模型》、《培养教练三度法则》等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第四部分：采购组织分析与关键决策角色解读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1、走出采购组织分析的五大误区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2、关键决策角色的五纬解读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3、绘制《组织权利地图》的三个要素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案例：客户内部相互踢皮球，我该怎么办？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落地工具：《组织权利地图》、《客户决策CUTE模型》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第五部分：客户攻关与高层突破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1、走出客户关系认识的误区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2、不同社交风格的不同攻关术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3、分析客户“痛点需求”的七个纬度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4、客户关系阶梯识别与推进策略对应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案例：拼死一搏，鹿死谁手？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落地工具：《客户需求鱼刺图分析》、《头脑风暴激荡法》、《客户关系拓展卡片》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第六部分：竞争分析与项目局势评估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1、关键决策人真实支持度如何测试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2、如何识别潜在的博弈力量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3、如何识别项目“优势”与“风险”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4、整体竞争局势如何理性评估与解析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案例：竞争对手已中标，他如何起死回生，反败为胜？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情景模拟：“竞争局势沙盘推演”演练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3366FF"/>
          <w:sz w:val="24"/>
          <w:szCs w:val="24"/>
        </w:rPr>
      </w:pPr>
      <w:r>
        <w:rPr>
          <w:rFonts w:hint="eastAsia" w:ascii="宋体" w:hAnsi="宋体" w:eastAsia="宋体" w:cs="宋体"/>
          <w:b/>
          <w:color w:val="3366FF"/>
          <w:sz w:val="24"/>
          <w:szCs w:val="24"/>
        </w:rPr>
        <w:t>第七部分：客户关系管理与价值提升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1、客户组织关系拓展的四个台阶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2、客户“钱包”份额提升的四大纬度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3、如何将个人客户关系推进到组织客户关系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4、客户组织关系平台拓展的四把金钥匙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5、客户组织关系管理的例行、闭环与再提升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案例：他是如何将一大客户的10%的不到份额提升到50%以上？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落地工具：《客户关系管理轮盘》、《关键业务行为日历》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cs="Arial"/>
          <w:b/>
          <w:color w:val="3366FF"/>
          <w:sz w:val="24"/>
        </w:rPr>
      </w:pPr>
      <w:r>
        <w:rPr>
          <w:rFonts w:ascii="宋体" w:hAnsi="宋体" w:cs="Arial"/>
          <w:b/>
          <w:color w:val="3366FF"/>
          <w:sz w:val="24"/>
        </w:rPr>
        <w:t>【</w:t>
      </w:r>
      <w:r>
        <w:rPr>
          <w:rFonts w:hint="eastAsia" w:ascii="宋体" w:hAnsi="宋体" w:cs="Arial"/>
          <w:b/>
          <w:color w:val="3366FF"/>
          <w:sz w:val="24"/>
          <w:lang w:eastAsia="zh-CN"/>
        </w:rPr>
        <w:t>讲师简介</w:t>
      </w:r>
      <w:r>
        <w:rPr>
          <w:rFonts w:ascii="宋体" w:hAnsi="宋体" w:cs="Arial"/>
          <w:b/>
          <w:color w:val="3366FF"/>
          <w:sz w:val="24"/>
        </w:rPr>
        <w:t>】</w:t>
      </w:r>
    </w:p>
    <w:p>
      <w:pPr>
        <w:spacing w:line="360" w:lineRule="auto"/>
        <w:rPr>
          <w:rFonts w:hint="eastAsia" w:ascii="宋体" w:hAnsi="宋体" w:cs="Arial"/>
          <w:b/>
          <w:color w:val="3366FF"/>
          <w:sz w:val="24"/>
          <w:lang w:eastAsia="zh-CN"/>
        </w:rPr>
      </w:pPr>
      <w:r>
        <w:rPr>
          <w:rFonts w:hint="eastAsia" w:ascii="宋体" w:hAnsi="宋体" w:cs="Arial"/>
          <w:b/>
          <w:color w:val="3366FF"/>
          <w:sz w:val="24"/>
          <w:lang w:eastAsia="zh-CN"/>
        </w:rPr>
        <w:t>包老师——大客户与解决方案式营销专家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国内大客户销售实战培训专家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解决方案式营销与销售管理专家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《赢家大讲堂》栏目特聘营销专家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被《财智》杂志评为杰出营销培训师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国际注册CMO 国家高级CBSA 西安交大MBA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国内多家大客户与解决方案式销售企业常年营销顾问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cs="Arial"/>
          <w:b/>
          <w:color w:val="3366FF"/>
          <w:sz w:val="24"/>
          <w:lang w:eastAsia="zh-CN"/>
        </w:rPr>
      </w:pPr>
      <w:r>
        <w:rPr>
          <w:rFonts w:hint="eastAsia" w:ascii="宋体" w:hAnsi="宋体" w:eastAsia="宋体" w:cs="宋体"/>
          <w:color w:val="3366FF"/>
          <w:sz w:val="24"/>
          <w:szCs w:val="24"/>
        </w:rPr>
        <w:t xml:space="preserve"> </w:t>
      </w:r>
      <w:r>
        <w:rPr>
          <w:rFonts w:hint="eastAsia" w:ascii="宋体" w:hAnsi="宋体" w:cs="Arial"/>
          <w:b/>
          <w:color w:val="3366FF"/>
          <w:sz w:val="24"/>
          <w:lang w:eastAsia="zh-CN"/>
        </w:rPr>
        <w:t>【实战经历】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世界十大制药企业西安杨森医药院线大客户销售经理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世界500强企业美国艾默生（中国）区域总监、大区总监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12年一线大客户、大项目实战操盘经历与营销管理经历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5年工业品企业、大客户销售型企业培训与咨询经历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200家工业品企业、大客户销售型企业的培训经历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30多家国内工业品企业与大客户销售型企业的咨询经历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cs="Arial"/>
          <w:b/>
          <w:color w:val="3366FF"/>
          <w:sz w:val="24"/>
          <w:lang w:eastAsia="zh-CN"/>
        </w:rPr>
      </w:pPr>
      <w:r>
        <w:rPr>
          <w:rFonts w:hint="eastAsia" w:ascii="宋体" w:hAnsi="宋体" w:cs="Arial"/>
          <w:b/>
          <w:color w:val="3366FF"/>
          <w:sz w:val="24"/>
          <w:lang w:eastAsia="zh-CN"/>
        </w:rPr>
        <w:t>【擅长领域】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擅长于大客户、工业品大额产品一线销售的培训与辅导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擅长于大客户、工业品大额产品销售进程管理、客户关系管理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擅长于大客户、大额产品销售精英销售复制，人才复制体系的建设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擅长于营销组织架构、大客户项目团队搭建，实现以弱击强，以小搏大</w:t>
      </w:r>
    </w:p>
    <w:p>
      <w:pPr>
        <w:spacing w:line="360" w:lineRule="auto"/>
        <w:rPr>
          <w:rFonts w:ascii="宋体" w:hAnsi="宋体" w:cs="Arial"/>
          <w:b/>
          <w:color w:val="538CD5"/>
          <w:sz w:val="24"/>
        </w:rPr>
      </w:pPr>
    </w:p>
    <w:p>
      <w:pPr>
        <w:spacing w:line="360" w:lineRule="auto"/>
        <w:rPr>
          <w:rFonts w:ascii="宋体" w:hAnsi="宋体" w:cs="Arial"/>
          <w:color w:val="222222"/>
          <w:sz w:val="24"/>
        </w:rPr>
      </w:pPr>
      <w:r>
        <w:rPr>
          <w:rFonts w:ascii="宋体" w:hAnsi="宋体" w:cs="Arial"/>
          <w:b/>
          <w:color w:val="3366FF"/>
          <w:sz w:val="24"/>
        </w:rPr>
        <w:t>【</w:t>
      </w:r>
      <w:r>
        <w:rPr>
          <w:rFonts w:hint="eastAsia" w:ascii="宋体" w:hAnsi="宋体" w:cs="Arial"/>
          <w:b/>
          <w:color w:val="3366FF"/>
          <w:sz w:val="24"/>
        </w:rPr>
        <w:t>培训</w:t>
      </w:r>
      <w:r>
        <w:rPr>
          <w:rFonts w:ascii="宋体" w:hAnsi="宋体" w:cs="Arial"/>
          <w:b/>
          <w:color w:val="3366FF"/>
          <w:sz w:val="24"/>
        </w:rPr>
        <w:t>形式】</w:t>
      </w:r>
      <w:r>
        <w:rPr>
          <w:rFonts w:hint="eastAsia" w:ascii="宋体" w:hAnsi="宋体" w:cs="Arial"/>
          <w:color w:val="222222"/>
          <w:sz w:val="24"/>
        </w:rPr>
        <w:t>理论讲解、案例分析、研讨</w:t>
      </w:r>
    </w:p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cs="Arial"/>
          <w:b/>
          <w:color w:val="3366FF"/>
          <w:sz w:val="24"/>
        </w:rPr>
        <w:t>【</w:t>
      </w:r>
      <w:r>
        <w:rPr>
          <w:rFonts w:hint="eastAsia" w:ascii="宋体" w:hAnsi="宋体" w:cs="Arial"/>
          <w:b/>
          <w:color w:val="3366FF"/>
          <w:sz w:val="24"/>
        </w:rPr>
        <w:t>培训对象</w:t>
      </w:r>
      <w:r>
        <w:rPr>
          <w:rFonts w:ascii="宋体" w:hAnsi="宋体" w:cs="Arial"/>
          <w:b/>
          <w:color w:val="3366FF"/>
          <w:sz w:val="24"/>
        </w:rPr>
        <w:t>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销售总监、营销总监、品牌总监、分公司（办事处）负责人、区域经理、销售骨干、大客户销售经理、项目销售经理、营销储备干部等。</w:t>
      </w:r>
    </w:p>
    <w:p>
      <w:pPr>
        <w:spacing w:line="360" w:lineRule="auto"/>
        <w:ind w:firstLine="1512" w:firstLineChars="630"/>
        <w:rPr>
          <w:rFonts w:ascii="宋体" w:hAnsi="宋体" w:cs="Arial"/>
          <w:color w:val="222222"/>
          <w:sz w:val="24"/>
        </w:rPr>
      </w:pPr>
    </w:p>
    <w:p>
      <w:pPr>
        <w:spacing w:line="360" w:lineRule="auto"/>
        <w:rPr>
          <w:rFonts w:hint="eastAsia" w:ascii="宋体" w:hAnsi="宋体" w:cs="Arial"/>
          <w:color w:val="222222"/>
          <w:sz w:val="24"/>
        </w:rPr>
      </w:pPr>
      <w:r>
        <w:rPr>
          <w:rFonts w:hint="eastAsia" w:ascii="宋体" w:hAnsi="宋体" w:cs="Arial"/>
          <w:b/>
          <w:color w:val="3366FF"/>
          <w:sz w:val="24"/>
        </w:rPr>
        <w:t>【培训时间】</w:t>
      </w:r>
      <w:r>
        <w:rPr>
          <w:rFonts w:hint="eastAsia" w:ascii="宋体" w:hAnsi="宋体" w:cs="Arial"/>
          <w:color w:val="222222"/>
          <w:sz w:val="24"/>
        </w:rPr>
        <w:t>2015年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7</w:t>
      </w:r>
      <w:r>
        <w:rPr>
          <w:rFonts w:hint="eastAsia" w:ascii="宋体" w:hAnsi="宋体" w:cs="Arial"/>
          <w:color w:val="222222"/>
          <w:sz w:val="24"/>
        </w:rPr>
        <w:t>月2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4</w:t>
      </w:r>
      <w:r>
        <w:rPr>
          <w:rFonts w:hint="eastAsia" w:ascii="宋体" w:hAnsi="宋体" w:cs="Arial"/>
          <w:color w:val="222222"/>
          <w:sz w:val="24"/>
        </w:rPr>
        <w:t>日（星期</w:t>
      </w:r>
      <w:r>
        <w:rPr>
          <w:rFonts w:hint="eastAsia" w:ascii="宋体" w:hAnsi="宋体" w:cs="Arial"/>
          <w:color w:val="222222"/>
          <w:sz w:val="24"/>
          <w:lang w:eastAsia="zh-CN"/>
        </w:rPr>
        <w:t>五</w:t>
      </w:r>
      <w:r>
        <w:rPr>
          <w:rFonts w:hint="eastAsia" w:ascii="宋体" w:hAnsi="宋体" w:cs="Arial"/>
          <w:color w:val="222222"/>
          <w:sz w:val="24"/>
        </w:rPr>
        <w:t>）</w:t>
      </w:r>
    </w:p>
    <w:p>
      <w:pPr>
        <w:spacing w:line="360" w:lineRule="auto"/>
        <w:rPr>
          <w:rFonts w:hint="eastAsia" w:ascii="宋体" w:hAnsi="宋体" w:cs="Arial"/>
          <w:color w:val="222222"/>
          <w:sz w:val="24"/>
          <w:lang w:val="en-US" w:eastAsia="zh-CN"/>
        </w:rPr>
      </w:pPr>
      <w:r>
        <w:rPr>
          <w:rFonts w:hint="eastAsia" w:ascii="宋体" w:hAnsi="宋体" w:cs="Arial"/>
          <w:color w:val="222222"/>
          <w:sz w:val="24"/>
          <w:lang w:val="en-US" w:eastAsia="zh-CN"/>
        </w:rPr>
        <w:t xml:space="preserve">           09:30-12:30  14:00-17:00            </w:t>
      </w:r>
    </w:p>
    <w:p>
      <w:pPr>
        <w:spacing w:line="360" w:lineRule="auto"/>
        <w:rPr>
          <w:rStyle w:val="5"/>
          <w:rFonts w:hint="eastAsia" w:cs="Arial"/>
          <w:color w:val="FF0000"/>
        </w:rPr>
      </w:pPr>
      <w:r>
        <w:rPr>
          <w:rStyle w:val="5"/>
          <w:rFonts w:hint="eastAsia" w:ascii="宋体" w:hAnsi="宋体" w:cs="Arial"/>
          <w:color w:val="3366FF"/>
          <w:sz w:val="24"/>
        </w:rPr>
        <w:t>【培训地点】</w:t>
      </w:r>
      <w:r>
        <w:rPr>
          <w:rStyle w:val="5"/>
          <w:rFonts w:hint="eastAsia" w:cs="Arial"/>
          <w:color w:val="FF0000"/>
        </w:rPr>
        <w:t>深圳市福田区上步中路1001深圳科技大厦2楼会议室</w:t>
      </w:r>
    </w:p>
    <w:p>
      <w:pPr>
        <w:spacing w:line="360" w:lineRule="auto"/>
        <w:rPr>
          <w:rStyle w:val="5"/>
          <w:rFonts w:cs="Arial"/>
          <w:color w:val="FF0000"/>
        </w:rPr>
      </w:pPr>
      <w:r>
        <w:rPr>
          <w:rStyle w:val="5"/>
          <w:rFonts w:hint="eastAsia" w:cs="Arial"/>
          <w:color w:val="FF0000"/>
          <w:lang w:val="en-US" w:eastAsia="zh-CN"/>
        </w:rPr>
        <w:t xml:space="preserve">              (西门上电梯到二楼即可)</w:t>
      </w:r>
    </w:p>
    <w:p>
      <w:pPr>
        <w:adjustRightInd w:val="0"/>
        <w:snapToGrid w:val="0"/>
        <w:spacing w:line="400" w:lineRule="exact"/>
        <w:ind w:left="105" w:hanging="105" w:hangingChars="50"/>
        <w:rPr>
          <w:rFonts w:hint="eastAsia" w:ascii="宋体" w:hAnsi="宋体" w:cs="Arial"/>
          <w:color w:val="222222"/>
          <w:sz w:val="24"/>
          <w:lang w:val="en-US" w:eastAsia="zh-CN"/>
        </w:rPr>
      </w:pPr>
      <w:r>
        <w:rPr>
          <w:rStyle w:val="5"/>
          <w:rFonts w:hint="eastAsia" w:ascii="宋体" w:hAnsi="宋体" w:cs="Arial"/>
          <w:color w:val="3366FF"/>
          <w:sz w:val="24"/>
        </w:rPr>
        <w:t>【培训费用】</w:t>
      </w:r>
      <w:r>
        <w:rPr>
          <w:rFonts w:hint="eastAsia" w:ascii="宋体" w:hAnsi="宋体" w:cs="Arial"/>
          <w:color w:val="222222"/>
          <w:sz w:val="24"/>
          <w:lang w:eastAsia="zh-CN"/>
        </w:rPr>
        <w:t>持卡会员免费、非持卡会员</w:t>
      </w:r>
      <w:r>
        <w:rPr>
          <w:rFonts w:hint="eastAsia" w:ascii="宋体" w:hAnsi="宋体" w:cs="Arial"/>
          <w:color w:val="222222"/>
          <w:sz w:val="24"/>
          <w:lang w:val="en-US" w:eastAsia="zh-CN"/>
        </w:rPr>
        <w:t>200元一位，非会员600元一</w:t>
      </w:r>
    </w:p>
    <w:p>
      <w:pPr>
        <w:adjustRightInd w:val="0"/>
        <w:snapToGrid w:val="0"/>
        <w:spacing w:line="400" w:lineRule="exact"/>
        <w:ind w:left="105" w:hanging="105" w:hangingChars="50"/>
        <w:rPr>
          <w:rFonts w:hint="eastAsia" w:ascii="宋体" w:hAnsi="宋体" w:cs="Arial"/>
          <w:color w:val="222222"/>
          <w:sz w:val="24"/>
          <w:lang w:val="en-US" w:eastAsia="zh-CN"/>
        </w:rPr>
      </w:pPr>
      <w:r>
        <w:rPr>
          <w:rFonts w:hint="eastAsia" w:ascii="宋体" w:hAnsi="宋体" w:cs="Arial"/>
          <w:color w:val="222222"/>
          <w:sz w:val="24"/>
          <w:lang w:val="en-US" w:eastAsia="zh-CN"/>
        </w:rPr>
        <w:t xml:space="preserve">            位</w:t>
      </w:r>
    </w:p>
    <w:p>
      <w:pPr>
        <w:adjustRightInd w:val="0"/>
        <w:snapToGrid w:val="0"/>
        <w:spacing w:line="400" w:lineRule="exact"/>
        <w:ind w:left="105" w:hanging="105" w:hangingChars="50"/>
        <w:rPr>
          <w:rFonts w:hint="eastAsia" w:ascii="宋体" w:hAnsi="宋体" w:cs="Arial"/>
          <w:color w:val="222222"/>
          <w:sz w:val="21"/>
          <w:szCs w:val="21"/>
          <w:lang w:val="en-US" w:eastAsia="zh-CN"/>
        </w:rPr>
      </w:pPr>
      <w:r>
        <w:rPr>
          <w:rFonts w:hint="eastAsia" w:ascii="宋体" w:hAnsi="宋体" w:cs="Arial"/>
          <w:color w:val="222222"/>
          <w:sz w:val="24"/>
          <w:lang w:val="en-US" w:eastAsia="zh-CN"/>
        </w:rPr>
        <w:t xml:space="preserve">    </w:t>
      </w: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>会员单位1张卡、理事单位2张卡、常务理事单位3张卡、副会长4张卡</w:t>
      </w:r>
    </w:p>
    <w:p>
      <w:pPr>
        <w:adjustRightInd w:val="0"/>
        <w:snapToGrid w:val="0"/>
        <w:spacing w:line="400" w:lineRule="exact"/>
        <w:ind w:left="105" w:hanging="105" w:hangingChars="50"/>
        <w:rPr>
          <w:rFonts w:hint="eastAsia" w:ascii="宋体" w:hAnsi="宋体" w:cs="Arial"/>
          <w:color w:val="222222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宋体" w:hAnsi="宋体" w:cs="Arial"/>
          <w:color w:val="222222"/>
          <w:sz w:val="24"/>
        </w:rPr>
      </w:pPr>
      <w:r>
        <w:rPr>
          <w:rStyle w:val="5"/>
          <w:rFonts w:hint="eastAsia" w:ascii="宋体" w:hAnsi="宋体" w:cs="Arial"/>
          <w:color w:val="3366FF"/>
          <w:sz w:val="24"/>
        </w:rPr>
        <w:t>【咨询窗口】</w:t>
      </w:r>
      <w:r>
        <w:rPr>
          <w:rFonts w:hint="eastAsia" w:ascii="宋体" w:hAnsi="宋体" w:cs="Arial"/>
          <w:color w:val="3366FF"/>
          <w:sz w:val="24"/>
        </w:rPr>
        <w:t xml:space="preserve"> </w:t>
      </w:r>
      <w:r>
        <w:rPr>
          <w:rFonts w:hint="eastAsia" w:ascii="宋体" w:hAnsi="宋体" w:cs="Arial"/>
          <w:color w:val="222222"/>
          <w:sz w:val="24"/>
        </w:rPr>
        <w:t xml:space="preserve">刘小姐/章先生：0755—83699382 0755-83699014 </w:t>
      </w:r>
      <w:r>
        <w:rPr>
          <w:rFonts w:hint="eastAsia" w:ascii="宋体" w:hAnsi="宋体" w:cs="Arial"/>
          <w:color w:val="222222"/>
          <w:sz w:val="24"/>
        </w:rPr>
        <w:br/>
      </w:r>
      <w:r>
        <w:rPr>
          <w:rStyle w:val="5"/>
          <w:rFonts w:hint="eastAsia" w:ascii="宋体" w:hAnsi="宋体" w:cs="Arial"/>
          <w:color w:val="3366FF"/>
          <w:sz w:val="24"/>
        </w:rPr>
        <w:t>【参与方式】</w:t>
      </w:r>
      <w:r>
        <w:rPr>
          <w:rFonts w:hint="eastAsia" w:ascii="宋体" w:hAnsi="宋体" w:cs="Arial"/>
          <w:color w:val="222222"/>
          <w:sz w:val="24"/>
        </w:rPr>
        <w:t>请点击</w:t>
      </w:r>
      <w:r>
        <w:fldChar w:fldCharType="begin"/>
      </w:r>
      <w:r>
        <w:instrText xml:space="preserve">HYPERLINK "http://203.91.44.177:8088/hy/MeettingSignUpNew.do?do=add&amp;PROJECT_NO=2015-0005" </w:instrText>
      </w:r>
      <w:r>
        <w:fldChar w:fldCharType="separate"/>
      </w:r>
      <w:r>
        <w:rPr>
          <w:rStyle w:val="7"/>
          <w:rFonts w:hint="eastAsia" w:ascii="宋体" w:hAnsi="宋体" w:cs="Arial"/>
          <w:sz w:val="24"/>
          <w:u w:val="none"/>
        </w:rPr>
        <w:t>在线报名</w:t>
      </w:r>
      <w:r>
        <w:fldChar w:fldCharType="end"/>
      </w:r>
      <w:r>
        <w:rPr>
          <w:rFonts w:hint="eastAsia" w:ascii="宋体" w:hAnsi="宋体" w:cs="Arial"/>
          <w:color w:val="222222"/>
          <w:sz w:val="24"/>
        </w:rPr>
        <w:t>！</w:t>
      </w:r>
    </w:p>
    <w:p>
      <w:pPr>
        <w:pStyle w:val="11"/>
        <w:spacing w:line="360" w:lineRule="auto"/>
        <w:ind w:left="-159" w:leftChars="-135" w:right="-143" w:rightChars="-68" w:hanging="124" w:hangingChars="59"/>
        <w:jc w:val="left"/>
        <w:rPr>
          <w:rFonts w:ascii="宋体" w:hAnsi="宋体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HYPERLINK "http://203.91.44.177:8088/hy/MeettingSignUpNew.do?do=add&amp;PROJECT_NO=2015-00" </w:instrText>
      </w:r>
      <w:r>
        <w:fldChar w:fldCharType="separate"/>
      </w:r>
      <w:r>
        <w:rPr>
          <w:rStyle w:val="7"/>
          <w:rFonts w:ascii="宋体" w:hAnsi="宋体"/>
          <w:sz w:val="24"/>
          <w:szCs w:val="24"/>
        </w:rPr>
        <w:t>http://</w:t>
      </w:r>
      <w:r>
        <w:rPr>
          <w:rStyle w:val="7"/>
          <w:rFonts w:hint="eastAsia" w:ascii="宋体" w:hAnsi="宋体"/>
          <w:sz w:val="24"/>
          <w:szCs w:val="24"/>
        </w:rPr>
        <w:t>203.91.44.177:8088</w:t>
      </w:r>
      <w:r>
        <w:rPr>
          <w:rStyle w:val="7"/>
          <w:rFonts w:ascii="宋体" w:hAnsi="宋体"/>
          <w:sz w:val="24"/>
          <w:szCs w:val="24"/>
        </w:rPr>
        <w:t>/hy/MeettingSignUpNew.do?do=add&amp;PROJECT_NO=201</w:t>
      </w:r>
      <w:r>
        <w:rPr>
          <w:rStyle w:val="7"/>
          <w:rFonts w:hint="eastAsia" w:ascii="宋体" w:hAnsi="宋体"/>
          <w:sz w:val="24"/>
          <w:szCs w:val="24"/>
        </w:rPr>
        <w:t>5</w:t>
      </w:r>
      <w:r>
        <w:rPr>
          <w:rStyle w:val="7"/>
          <w:rFonts w:ascii="宋体" w:hAnsi="宋体"/>
          <w:sz w:val="24"/>
          <w:szCs w:val="24"/>
        </w:rPr>
        <w:t>-</w:t>
      </w:r>
      <w:r>
        <w:rPr>
          <w:rStyle w:val="7"/>
          <w:rFonts w:hint="eastAsia" w:ascii="宋体" w:hAnsi="宋体"/>
          <w:sz w:val="24"/>
          <w:szCs w:val="24"/>
        </w:rPr>
        <w:t>00</w:t>
      </w:r>
      <w:r>
        <w:fldChar w:fldCharType="end"/>
      </w:r>
      <w:r>
        <w:rPr>
          <w:rStyle w:val="7"/>
          <w:rFonts w:hint="eastAsia" w:ascii="宋体" w:hAnsi="宋体"/>
          <w:sz w:val="24"/>
          <w:szCs w:val="24"/>
          <w:lang w:val="en-US" w:eastAsia="zh-CN"/>
        </w:rPr>
        <w:t>51</w:t>
      </w:r>
    </w:p>
    <w:p>
      <w:pPr>
        <w:spacing w:line="360" w:lineRule="auto"/>
        <w:rPr>
          <w:rFonts w:ascii="宋体" w:hAnsi="宋体" w:cs="Arial"/>
          <w:color w:val="222222"/>
          <w:sz w:val="24"/>
        </w:rPr>
      </w:pPr>
      <w:r>
        <w:rPr>
          <w:rFonts w:hint="eastAsia" w:ascii="宋体" w:hAnsi="宋体" w:cs="Arial"/>
          <w:color w:val="222222"/>
          <w:sz w:val="24"/>
        </w:rPr>
        <w:t>如网络原因等无法在线报名，请下载并填写</w:t>
      </w:r>
      <w:r>
        <w:fldChar w:fldCharType="begin"/>
      </w:r>
      <w:r>
        <w:instrText xml:space="preserve">HYPERLINK "http://www.hi-tech.org.cn/uploadfile/2015/0303/20150303111717192.doc" </w:instrText>
      </w:r>
      <w:r>
        <w:fldChar w:fldCharType="separate"/>
      </w:r>
      <w:r>
        <w:rPr>
          <w:rStyle w:val="7"/>
          <w:rFonts w:hint="eastAsia" w:ascii="宋体" w:hAnsi="宋体" w:cs="Arial"/>
          <w:sz w:val="24"/>
          <w:u w:val="none"/>
        </w:rPr>
        <w:t>报名回执</w:t>
      </w:r>
      <w:r>
        <w:fldChar w:fldCharType="end"/>
      </w:r>
      <w:r>
        <w:rPr>
          <w:rFonts w:hint="eastAsia" w:ascii="宋体" w:hAnsi="宋体" w:cs="Arial"/>
          <w:color w:val="222222"/>
          <w:sz w:val="24"/>
        </w:rPr>
        <w:t>邮电至</w:t>
      </w:r>
      <w:bookmarkStart w:id="0" w:name="_GoBack"/>
      <w:bookmarkEnd w:id="0"/>
      <w:r>
        <w:rPr>
          <w:rFonts w:hint="eastAsia" w:ascii="宋体" w:hAnsi="宋体" w:cs="Arial"/>
          <w:color w:val="222222"/>
          <w:sz w:val="24"/>
        </w:rPr>
        <w:t xml:space="preserve">liutt@hi-tech.org.cn或传真至：0855-83671211 </w:t>
      </w:r>
      <w:r>
        <w:rPr>
          <w:rFonts w:hint="eastAsia" w:ascii="宋体" w:hAnsi="宋体" w:cs="Arial"/>
          <w:color w:val="222222"/>
          <w:sz w:val="24"/>
        </w:rPr>
        <w:br/>
      </w:r>
      <w:r>
        <w:rPr>
          <w:rStyle w:val="5"/>
          <w:rFonts w:hint="eastAsia" w:ascii="宋体" w:hAnsi="宋体" w:cs="Arial"/>
          <w:color w:val="222222"/>
          <w:sz w:val="24"/>
        </w:rPr>
        <w:t>温馨提示：在线报名系统提示成功即可，无须知会协会,传真及邮件报名的企业需与协会培训部确认；谢谢大家配合！</w:t>
      </w:r>
    </w:p>
    <w:sectPr>
      <w:pgSz w:w="9638" w:h="31181"/>
      <w:pgMar w:top="1134" w:right="926" w:bottom="1440" w:left="126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4DB7"/>
    <w:rsid w:val="00020A1E"/>
    <w:rsid w:val="000442EC"/>
    <w:rsid w:val="00044AF8"/>
    <w:rsid w:val="00143EB7"/>
    <w:rsid w:val="001D3C2E"/>
    <w:rsid w:val="001F2DA4"/>
    <w:rsid w:val="00260AE3"/>
    <w:rsid w:val="00287CBC"/>
    <w:rsid w:val="002A7F53"/>
    <w:rsid w:val="002D40DC"/>
    <w:rsid w:val="002E6589"/>
    <w:rsid w:val="002F1288"/>
    <w:rsid w:val="00351C07"/>
    <w:rsid w:val="00354804"/>
    <w:rsid w:val="003A0BD0"/>
    <w:rsid w:val="003D11D7"/>
    <w:rsid w:val="003D5849"/>
    <w:rsid w:val="00455BB4"/>
    <w:rsid w:val="00497ADD"/>
    <w:rsid w:val="004C4CCA"/>
    <w:rsid w:val="004D438F"/>
    <w:rsid w:val="00507350"/>
    <w:rsid w:val="00507DA2"/>
    <w:rsid w:val="005123A6"/>
    <w:rsid w:val="0053706F"/>
    <w:rsid w:val="00537529"/>
    <w:rsid w:val="00587595"/>
    <w:rsid w:val="00643BE9"/>
    <w:rsid w:val="006C068F"/>
    <w:rsid w:val="006D6982"/>
    <w:rsid w:val="007A7535"/>
    <w:rsid w:val="007B5E31"/>
    <w:rsid w:val="00850812"/>
    <w:rsid w:val="00894697"/>
    <w:rsid w:val="008A1562"/>
    <w:rsid w:val="0092696B"/>
    <w:rsid w:val="0096336E"/>
    <w:rsid w:val="00A65103"/>
    <w:rsid w:val="00B104DC"/>
    <w:rsid w:val="00B2263B"/>
    <w:rsid w:val="00B30C66"/>
    <w:rsid w:val="00B63FDE"/>
    <w:rsid w:val="00B67D6E"/>
    <w:rsid w:val="00B902F1"/>
    <w:rsid w:val="00BC7C84"/>
    <w:rsid w:val="00C36237"/>
    <w:rsid w:val="00C80086"/>
    <w:rsid w:val="00C82883"/>
    <w:rsid w:val="00C90D93"/>
    <w:rsid w:val="00CF30CD"/>
    <w:rsid w:val="00CF6283"/>
    <w:rsid w:val="00D00470"/>
    <w:rsid w:val="00D93055"/>
    <w:rsid w:val="00DA5027"/>
    <w:rsid w:val="00E1355E"/>
    <w:rsid w:val="00E210BD"/>
    <w:rsid w:val="00ED53A3"/>
    <w:rsid w:val="00F02E3E"/>
    <w:rsid w:val="00F25F48"/>
    <w:rsid w:val="00F34500"/>
    <w:rsid w:val="00F36A95"/>
    <w:rsid w:val="00F53EC3"/>
    <w:rsid w:val="00F74DB7"/>
    <w:rsid w:val="00F8638C"/>
    <w:rsid w:val="00F864B6"/>
    <w:rsid w:val="04BF41D9"/>
    <w:rsid w:val="08E1269F"/>
    <w:rsid w:val="0ABA57A8"/>
    <w:rsid w:val="13E77B33"/>
    <w:rsid w:val="142D2826"/>
    <w:rsid w:val="1AAF4FD3"/>
    <w:rsid w:val="1DF11C2D"/>
    <w:rsid w:val="1FFE7B2C"/>
    <w:rsid w:val="22AA736D"/>
    <w:rsid w:val="2A0F5990"/>
    <w:rsid w:val="2C0113A2"/>
    <w:rsid w:val="2C3C6E9F"/>
    <w:rsid w:val="2FB01D49"/>
    <w:rsid w:val="3237046E"/>
    <w:rsid w:val="3304433F"/>
    <w:rsid w:val="38321A3E"/>
    <w:rsid w:val="3B736697"/>
    <w:rsid w:val="3D5F713C"/>
    <w:rsid w:val="4AB12FFB"/>
    <w:rsid w:val="50870DA9"/>
    <w:rsid w:val="52D93B7C"/>
    <w:rsid w:val="5D7C4B6F"/>
    <w:rsid w:val="62F8368F"/>
    <w:rsid w:val="644362BC"/>
    <w:rsid w:val="70A37798"/>
    <w:rsid w:val="73B415E2"/>
    <w:rsid w:val="7FF7428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locked/>
    <w:uiPriority w:val="0"/>
    <w:rPr>
      <w:b/>
      <w:bCs/>
    </w:rPr>
  </w:style>
  <w:style w:type="character" w:styleId="6">
    <w:name w:val="page number"/>
    <w:basedOn w:val="4"/>
    <w:unhideWhenUsed/>
    <w:uiPriority w:val="0"/>
    <w:rPr/>
  </w:style>
  <w:style w:type="character" w:styleId="7">
    <w:name w:val="Hyperlink"/>
    <w:basedOn w:val="4"/>
    <w:unhideWhenUsed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iPriority w:val="99"/>
    <w:pPr>
      <w:ind w:firstLine="420" w:firstLineChars="200"/>
    </w:pPr>
  </w:style>
  <w:style w:type="paragraph" w:customStyle="1" w:styleId="11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2">
    <w:name w:val="List Paragraph"/>
    <w:basedOn w:val="1"/>
    <w:uiPriority w:val="0"/>
    <w:pPr>
      <w:ind w:firstLine="420" w:firstLineChars="200"/>
    </w:pPr>
    <w:rPr>
      <w:rFonts w:ascii="Calibri" w:hAnsi="Calibri"/>
      <w:color w:val="auto"/>
      <w:sz w:val="21"/>
      <w:szCs w:val="22"/>
    </w:rPr>
  </w:style>
  <w:style w:type="character" w:customStyle="1" w:styleId="13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Char Char1"/>
    <w:semiHidden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938</Characters>
  <Lines>7</Lines>
  <Paragraphs>2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2014-12-12T03:25:00Z</dcterms:created>
  <dc:creator>AutoBVT</dc:creator>
  <cp:lastModifiedBy>Administrator</cp:lastModifiedBy>
  <dcterms:modified xsi:type="dcterms:W3CDTF">2015-07-14T07:44:35Z</dcterms:modified>
  <dc:title>2015年公益研讨会二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