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6B" w:rsidRPr="0098526B" w:rsidRDefault="0098526B" w:rsidP="0098526B">
      <w:pPr>
        <w:jc w:val="center"/>
        <w:rPr>
          <w:rFonts w:ascii="华康宋体W12(P)" w:eastAsia="华康宋体W12(P)" w:hint="eastAsia"/>
          <w:b/>
          <w:color w:val="943634"/>
          <w:sz w:val="36"/>
          <w:szCs w:val="28"/>
        </w:rPr>
      </w:pPr>
      <w:r w:rsidRPr="00634C6E">
        <w:rPr>
          <w:rFonts w:ascii="华康宋体W12(P)" w:eastAsia="华康宋体W12(P)" w:hint="eastAsia"/>
          <w:b/>
          <w:color w:val="943634"/>
          <w:sz w:val="36"/>
          <w:szCs w:val="28"/>
        </w:rPr>
        <w:t>《企业经营目标实现与业绩突破关键策略》</w:t>
      </w:r>
      <w:bookmarkStart w:id="0" w:name="_GoBack"/>
      <w:bookmarkEnd w:id="0"/>
    </w:p>
    <w:tbl>
      <w:tblPr>
        <w:tblpPr w:leftFromText="180" w:rightFromText="180" w:vertAnchor="text" w:horzAnchor="margin" w:tblpX="80" w:tblpY="2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8526B" w:rsidTr="00E07457">
        <w:trPr>
          <w:trHeight w:val="558"/>
        </w:trPr>
        <w:tc>
          <w:tcPr>
            <w:tcW w:w="9889" w:type="dxa"/>
            <w:shd w:val="clear" w:color="auto" w:fill="F2F2F2"/>
            <w:vAlign w:val="center"/>
          </w:tcPr>
          <w:p w:rsidR="0098526B" w:rsidRPr="00634C6E" w:rsidRDefault="0098526B" w:rsidP="00E07457">
            <w:pPr>
              <w:widowControl/>
              <w:spacing w:line="360" w:lineRule="auto"/>
              <w:jc w:val="center"/>
              <w:textAlignment w:val="baseline"/>
              <w:rPr>
                <w:rFonts w:ascii="宋体" w:hAnsi="宋体"/>
                <w:sz w:val="32"/>
                <w:szCs w:val="32"/>
              </w:rPr>
            </w:pPr>
            <w:r w:rsidRPr="00634C6E">
              <w:rPr>
                <w:rFonts w:ascii="宋体" w:hAnsi="宋体" w:hint="eastAsia"/>
                <w:b/>
                <w:bCs/>
                <w:sz w:val="32"/>
                <w:szCs w:val="32"/>
              </w:rPr>
              <w:t>专题核心内容</w:t>
            </w:r>
          </w:p>
        </w:tc>
      </w:tr>
      <w:tr w:rsidR="0098526B" w:rsidTr="00E07457">
        <w:trPr>
          <w:trHeight w:val="2454"/>
        </w:trPr>
        <w:tc>
          <w:tcPr>
            <w:tcW w:w="9889" w:type="dxa"/>
            <w:vAlign w:val="center"/>
          </w:tcPr>
          <w:p w:rsidR="0098526B" w:rsidRDefault="0098526B" w:rsidP="00E07457">
            <w:pPr>
              <w:ind w:right="2800"/>
              <w:rPr>
                <w:rFonts w:ascii="华康宋体W12(P)" w:eastAsia="华康宋体W12(P)"/>
                <w:b/>
                <w:color w:val="002060"/>
                <w:sz w:val="24"/>
                <w:szCs w:val="36"/>
              </w:rPr>
            </w:pPr>
            <w:r>
              <w:rPr>
                <w:rFonts w:ascii="华康宋体W12(P)" w:eastAsia="华康宋体W12(P)"/>
                <w:b/>
                <w:color w:val="002060"/>
                <w:sz w:val="24"/>
                <w:szCs w:val="36"/>
              </w:rPr>
              <w:t>课程收益：</w:t>
            </w:r>
          </w:p>
          <w:p w:rsidR="0098526B" w:rsidRDefault="0098526B" w:rsidP="0098526B">
            <w:pPr>
              <w:widowControl/>
              <w:numPr>
                <w:ilvl w:val="0"/>
                <w:numId w:val="4"/>
              </w:numPr>
              <w:ind w:left="1166"/>
              <w:jc w:val="left"/>
              <w:rPr>
                <w:rFonts w:ascii="宋体" w:hAnsi="宋体"/>
                <w:sz w:val="24"/>
                <w:szCs w:val="28"/>
              </w:rPr>
            </w:pPr>
            <w:r>
              <w:rPr>
                <w:rFonts w:ascii="宋体" w:hAnsi="宋体" w:hint="eastAsia"/>
                <w:sz w:val="24"/>
                <w:szCs w:val="28"/>
              </w:rPr>
              <w:t>破解影响企业经营目标达成的主要障碍；</w:t>
            </w:r>
          </w:p>
          <w:p w:rsidR="0098526B" w:rsidRDefault="0098526B" w:rsidP="0098526B">
            <w:pPr>
              <w:widowControl/>
              <w:numPr>
                <w:ilvl w:val="0"/>
                <w:numId w:val="4"/>
              </w:numPr>
              <w:ind w:left="1166"/>
              <w:jc w:val="left"/>
              <w:rPr>
                <w:rFonts w:ascii="宋体" w:hAnsi="宋体"/>
                <w:sz w:val="24"/>
                <w:szCs w:val="28"/>
              </w:rPr>
            </w:pPr>
            <w:r>
              <w:rPr>
                <w:rFonts w:ascii="宋体" w:hAnsi="宋体" w:hint="eastAsia"/>
                <w:sz w:val="24"/>
                <w:szCs w:val="28"/>
              </w:rPr>
              <w:t>掌握有效跟进推动目标实现的关键策略；</w:t>
            </w:r>
          </w:p>
          <w:p w:rsidR="0098526B" w:rsidRDefault="0098526B" w:rsidP="0098526B">
            <w:pPr>
              <w:widowControl/>
              <w:numPr>
                <w:ilvl w:val="0"/>
                <w:numId w:val="4"/>
              </w:numPr>
              <w:ind w:left="1166"/>
              <w:jc w:val="left"/>
              <w:rPr>
                <w:rFonts w:ascii="宋体" w:hAnsi="宋体"/>
                <w:sz w:val="24"/>
                <w:szCs w:val="28"/>
              </w:rPr>
            </w:pPr>
            <w:r>
              <w:rPr>
                <w:rFonts w:ascii="宋体" w:hAnsi="宋体" w:hint="eastAsia"/>
                <w:sz w:val="24"/>
                <w:szCs w:val="28"/>
              </w:rPr>
              <w:t>通过组织与管理模式创新突破经营格局；</w:t>
            </w:r>
          </w:p>
          <w:p w:rsidR="0098526B" w:rsidRDefault="0098526B" w:rsidP="0098526B">
            <w:pPr>
              <w:widowControl/>
              <w:numPr>
                <w:ilvl w:val="0"/>
                <w:numId w:val="4"/>
              </w:numPr>
              <w:ind w:left="1166"/>
              <w:jc w:val="left"/>
              <w:rPr>
                <w:rFonts w:ascii="宋体" w:hAnsi="宋体"/>
                <w:sz w:val="24"/>
                <w:szCs w:val="28"/>
              </w:rPr>
            </w:pPr>
            <w:r>
              <w:rPr>
                <w:rFonts w:ascii="宋体" w:hAnsi="宋体" w:hint="eastAsia"/>
                <w:sz w:val="24"/>
                <w:szCs w:val="28"/>
              </w:rPr>
              <w:t>构建企业业绩不断突破的激励驱动机制；</w:t>
            </w:r>
          </w:p>
          <w:p w:rsidR="0098526B" w:rsidRDefault="0098526B" w:rsidP="00E07457">
            <w:pPr>
              <w:pStyle w:val="2"/>
              <w:spacing w:line="276" w:lineRule="auto"/>
              <w:ind w:leftChars="0" w:left="0" w:firstLineChars="0" w:firstLine="0"/>
              <w:rPr>
                <w:b/>
              </w:rPr>
            </w:pPr>
          </w:p>
        </w:tc>
      </w:tr>
      <w:tr w:rsidR="0098526B" w:rsidTr="00E07457">
        <w:trPr>
          <w:trHeight w:val="2583"/>
        </w:trPr>
        <w:tc>
          <w:tcPr>
            <w:tcW w:w="9889" w:type="dxa"/>
            <w:vAlign w:val="center"/>
          </w:tcPr>
          <w:p w:rsidR="0098526B" w:rsidRDefault="0098526B" w:rsidP="0098526B">
            <w:pPr>
              <w:ind w:right="2800"/>
              <w:rPr>
                <w:rFonts w:ascii="华康宋体W12(P)" w:eastAsia="华康宋体W12(P)"/>
                <w:b/>
                <w:color w:val="002060"/>
                <w:sz w:val="24"/>
                <w:szCs w:val="36"/>
              </w:rPr>
            </w:pPr>
            <w:r>
              <w:rPr>
                <w:rFonts w:ascii="华康宋体W12(P)" w:eastAsia="华康宋体W12(P)"/>
                <w:b/>
                <w:color w:val="002060"/>
                <w:sz w:val="24"/>
                <w:szCs w:val="36"/>
              </w:rPr>
              <w:t>课程提纲：</w:t>
            </w:r>
          </w:p>
          <w:p w:rsidR="0098526B" w:rsidRDefault="0098526B" w:rsidP="0098526B">
            <w:pPr>
              <w:pStyle w:val="a9"/>
              <w:spacing w:before="0" w:beforeAutospacing="0" w:after="0" w:afterAutospacing="0" w:line="360" w:lineRule="auto"/>
              <w:jc w:val="both"/>
              <w:rPr>
                <w:color w:val="002060"/>
                <w:sz w:val="32"/>
                <w:szCs w:val="22"/>
              </w:rPr>
            </w:pPr>
            <w:r>
              <w:rPr>
                <w:rFonts w:hint="eastAsia"/>
                <w:b/>
                <w:bCs/>
                <w:color w:val="002060"/>
                <w:kern w:val="2"/>
                <w:sz w:val="32"/>
                <w:szCs w:val="22"/>
              </w:rPr>
              <w:t>第一部分 企业经营目标实现的方法</w:t>
            </w:r>
          </w:p>
          <w:p w:rsidR="0098526B" w:rsidRDefault="0098526B" w:rsidP="0098526B">
            <w:pPr>
              <w:pStyle w:val="a9"/>
              <w:spacing w:before="0" w:beforeAutospacing="0" w:after="0" w:afterAutospacing="0" w:line="360" w:lineRule="auto"/>
              <w:jc w:val="both"/>
              <w:rPr>
                <w:b/>
                <w:bCs/>
                <w:color w:val="000000"/>
                <w:kern w:val="2"/>
                <w:szCs w:val="32"/>
              </w:rPr>
            </w:pPr>
            <w:r>
              <w:rPr>
                <w:rFonts w:hint="eastAsia"/>
                <w:b/>
                <w:bCs/>
                <w:color w:val="000000"/>
                <w:kern w:val="2"/>
                <w:szCs w:val="32"/>
              </w:rPr>
              <w:t>一、影响企业目标难以实现的主要原因</w:t>
            </w:r>
          </w:p>
          <w:p w:rsidR="0098526B" w:rsidRDefault="0098526B" w:rsidP="0098526B">
            <w:pPr>
              <w:pStyle w:val="a9"/>
              <w:spacing w:before="0" w:beforeAutospacing="0" w:after="0" w:afterAutospacing="0" w:line="360" w:lineRule="auto"/>
              <w:jc w:val="both"/>
              <w:rPr>
                <w:sz w:val="21"/>
                <w:szCs w:val="21"/>
              </w:rPr>
            </w:pPr>
            <w:r>
              <w:rPr>
                <w:bCs/>
                <w:color w:val="000000"/>
                <w:kern w:val="2"/>
                <w:sz w:val="21"/>
                <w:szCs w:val="21"/>
              </w:rPr>
              <w:t>1</w:t>
            </w:r>
            <w:r>
              <w:rPr>
                <w:rFonts w:hint="eastAsia"/>
                <w:bCs/>
                <w:color w:val="000000"/>
                <w:kern w:val="2"/>
                <w:sz w:val="21"/>
                <w:szCs w:val="21"/>
              </w:rPr>
              <w:t>、案例讨论及原因分析：</w:t>
            </w:r>
            <w:r>
              <w:rPr>
                <w:rFonts w:hint="eastAsia"/>
                <w:bCs/>
                <w:i/>
                <w:iCs/>
                <w:color w:val="C0504D"/>
                <w:kern w:val="2"/>
                <w:sz w:val="21"/>
                <w:szCs w:val="21"/>
              </w:rPr>
              <w:t>企业目标总是难以实现的主要原因？</w:t>
            </w:r>
          </w:p>
          <w:p w:rsidR="0098526B" w:rsidRDefault="0098526B" w:rsidP="0098526B">
            <w:pPr>
              <w:pStyle w:val="a9"/>
              <w:spacing w:before="0" w:beforeAutospacing="0" w:after="0" w:afterAutospacing="0" w:line="360" w:lineRule="auto"/>
              <w:jc w:val="both"/>
              <w:rPr>
                <w:sz w:val="21"/>
                <w:szCs w:val="21"/>
              </w:rPr>
            </w:pPr>
            <w:r>
              <w:rPr>
                <w:bCs/>
                <w:color w:val="000000"/>
                <w:kern w:val="2"/>
                <w:sz w:val="21"/>
                <w:szCs w:val="21"/>
              </w:rPr>
              <w:t>2</w:t>
            </w:r>
            <w:r>
              <w:rPr>
                <w:rFonts w:hint="eastAsia"/>
                <w:bCs/>
                <w:color w:val="000000"/>
                <w:kern w:val="2"/>
                <w:sz w:val="21"/>
                <w:szCs w:val="21"/>
              </w:rPr>
              <w:t>、影响企业目标达成的管理机制障碍</w:t>
            </w:r>
          </w:p>
          <w:p w:rsidR="0098526B" w:rsidRDefault="0098526B" w:rsidP="0098526B">
            <w:pPr>
              <w:pStyle w:val="a9"/>
              <w:spacing w:before="0" w:beforeAutospacing="0" w:after="0" w:afterAutospacing="0" w:line="360" w:lineRule="auto"/>
              <w:jc w:val="both"/>
              <w:rPr>
                <w:b/>
                <w:bCs/>
                <w:color w:val="000000"/>
                <w:kern w:val="2"/>
                <w:szCs w:val="32"/>
              </w:rPr>
            </w:pPr>
            <w:r>
              <w:rPr>
                <w:rFonts w:hint="eastAsia"/>
                <w:b/>
                <w:bCs/>
                <w:color w:val="000000"/>
                <w:kern w:val="2"/>
                <w:szCs w:val="32"/>
              </w:rPr>
              <w:t>二、如何有效跟进和推动企业目标达成</w:t>
            </w:r>
          </w:p>
          <w:p w:rsidR="0098526B" w:rsidRDefault="0098526B" w:rsidP="0098526B">
            <w:pPr>
              <w:pStyle w:val="a9"/>
              <w:spacing w:before="0" w:beforeAutospacing="0" w:after="0" w:afterAutospacing="0" w:line="360" w:lineRule="auto"/>
              <w:jc w:val="both"/>
              <w:rPr>
                <w:sz w:val="21"/>
                <w:szCs w:val="21"/>
              </w:rPr>
            </w:pPr>
            <w:r>
              <w:rPr>
                <w:bCs/>
                <w:color w:val="000000"/>
                <w:kern w:val="2"/>
                <w:sz w:val="21"/>
                <w:szCs w:val="21"/>
              </w:rPr>
              <w:t>1</w:t>
            </w:r>
            <w:r>
              <w:rPr>
                <w:rFonts w:hint="eastAsia"/>
                <w:bCs/>
                <w:color w:val="000000"/>
                <w:kern w:val="2"/>
                <w:sz w:val="21"/>
                <w:szCs w:val="21"/>
              </w:rPr>
              <w:t>、目标执行的承诺：员工五问的技巧</w:t>
            </w:r>
          </w:p>
          <w:p w:rsidR="0098526B" w:rsidRDefault="0098526B" w:rsidP="0098526B">
            <w:pPr>
              <w:pStyle w:val="a9"/>
              <w:spacing w:before="0" w:beforeAutospacing="0" w:after="0" w:afterAutospacing="0" w:line="360" w:lineRule="auto"/>
              <w:jc w:val="both"/>
              <w:rPr>
                <w:sz w:val="21"/>
                <w:szCs w:val="21"/>
              </w:rPr>
            </w:pPr>
            <w:r>
              <w:rPr>
                <w:bCs/>
                <w:color w:val="000000"/>
                <w:kern w:val="2"/>
                <w:sz w:val="21"/>
                <w:szCs w:val="21"/>
              </w:rPr>
              <w:t>2</w:t>
            </w:r>
            <w:r>
              <w:rPr>
                <w:rFonts w:hint="eastAsia"/>
                <w:bCs/>
                <w:color w:val="000000"/>
                <w:kern w:val="2"/>
                <w:sz w:val="21"/>
                <w:szCs w:val="21"/>
              </w:rPr>
              <w:t>、目标跟踪的主要方法</w:t>
            </w:r>
          </w:p>
          <w:p w:rsidR="0098526B" w:rsidRDefault="0098526B" w:rsidP="0098526B">
            <w:pPr>
              <w:pStyle w:val="a9"/>
              <w:spacing w:before="0" w:beforeAutospacing="0" w:after="0" w:afterAutospacing="0" w:line="360" w:lineRule="auto"/>
              <w:jc w:val="both"/>
              <w:rPr>
                <w:sz w:val="21"/>
                <w:szCs w:val="21"/>
              </w:rPr>
            </w:pPr>
            <w:r>
              <w:rPr>
                <w:bCs/>
                <w:color w:val="000000"/>
                <w:kern w:val="2"/>
                <w:sz w:val="21"/>
                <w:szCs w:val="21"/>
              </w:rPr>
              <w:t>3</w:t>
            </w:r>
            <w:r>
              <w:rPr>
                <w:rFonts w:hint="eastAsia"/>
                <w:bCs/>
                <w:color w:val="000000"/>
                <w:kern w:val="2"/>
                <w:sz w:val="21"/>
                <w:szCs w:val="21"/>
              </w:rPr>
              <w:t>、保证企业目标达成的四大“推动”策略</w:t>
            </w:r>
          </w:p>
          <w:p w:rsidR="0098526B" w:rsidRDefault="0098526B" w:rsidP="0098526B">
            <w:pPr>
              <w:pStyle w:val="a9"/>
              <w:spacing w:before="0" w:beforeAutospacing="0" w:after="0" w:afterAutospacing="0" w:line="360" w:lineRule="auto"/>
              <w:jc w:val="both"/>
              <w:rPr>
                <w:sz w:val="21"/>
                <w:szCs w:val="21"/>
              </w:rPr>
            </w:pPr>
            <w:r>
              <w:rPr>
                <w:rFonts w:hint="eastAsia"/>
                <w:bCs/>
                <w:i/>
                <w:iCs/>
                <w:color w:val="C0504D"/>
                <w:kern w:val="2"/>
                <w:sz w:val="21"/>
                <w:szCs w:val="21"/>
              </w:rPr>
              <w:t>案例分析：阿里铁军的业绩</w:t>
            </w:r>
            <w:r>
              <w:rPr>
                <w:bCs/>
                <w:i/>
                <w:iCs/>
                <w:color w:val="C0504D"/>
                <w:kern w:val="2"/>
                <w:sz w:val="21"/>
                <w:szCs w:val="21"/>
              </w:rPr>
              <w:t>Review</w:t>
            </w:r>
          </w:p>
          <w:p w:rsidR="0098526B" w:rsidRDefault="0098526B" w:rsidP="0098526B">
            <w:pPr>
              <w:pStyle w:val="a9"/>
              <w:spacing w:before="0" w:beforeAutospacing="0" w:after="0" w:afterAutospacing="0" w:line="360" w:lineRule="auto"/>
              <w:jc w:val="both"/>
              <w:rPr>
                <w:sz w:val="21"/>
                <w:szCs w:val="21"/>
              </w:rPr>
            </w:pPr>
            <w:r>
              <w:rPr>
                <w:bCs/>
                <w:color w:val="000000"/>
                <w:kern w:val="2"/>
                <w:sz w:val="21"/>
                <w:szCs w:val="21"/>
              </w:rPr>
              <w:t>4</w:t>
            </w:r>
            <w:r>
              <w:rPr>
                <w:rFonts w:hint="eastAsia"/>
                <w:bCs/>
                <w:color w:val="000000"/>
                <w:kern w:val="2"/>
                <w:sz w:val="21"/>
                <w:szCs w:val="21"/>
              </w:rPr>
              <w:t>、保证企业目标达成的五大“拉动”策略</w:t>
            </w:r>
          </w:p>
          <w:p w:rsidR="0098526B" w:rsidRDefault="0098526B" w:rsidP="0098526B">
            <w:pPr>
              <w:pStyle w:val="a9"/>
              <w:spacing w:before="0" w:beforeAutospacing="0" w:after="0" w:afterAutospacing="0" w:line="360" w:lineRule="auto"/>
              <w:jc w:val="both"/>
              <w:rPr>
                <w:bCs/>
                <w:i/>
                <w:iCs/>
                <w:color w:val="C0504D"/>
                <w:kern w:val="2"/>
                <w:sz w:val="21"/>
                <w:szCs w:val="21"/>
              </w:rPr>
            </w:pPr>
            <w:r>
              <w:rPr>
                <w:rFonts w:hint="eastAsia"/>
                <w:bCs/>
                <w:i/>
                <w:iCs/>
                <w:color w:val="C0504D"/>
                <w:kern w:val="2"/>
                <w:sz w:val="21"/>
                <w:szCs w:val="21"/>
              </w:rPr>
              <w:t>案例分析：康佳集团的绩效教练</w:t>
            </w:r>
          </w:p>
          <w:p w:rsidR="0098526B" w:rsidRDefault="0098526B" w:rsidP="0098526B">
            <w:pPr>
              <w:pStyle w:val="a9"/>
              <w:spacing w:before="0" w:beforeAutospacing="0" w:after="0" w:afterAutospacing="0" w:line="360" w:lineRule="auto"/>
              <w:jc w:val="both"/>
              <w:rPr>
                <w:b/>
                <w:bCs/>
                <w:color w:val="002060"/>
                <w:kern w:val="2"/>
                <w:sz w:val="32"/>
                <w:szCs w:val="22"/>
              </w:rPr>
            </w:pPr>
            <w:r>
              <w:rPr>
                <w:rFonts w:hint="eastAsia"/>
                <w:b/>
                <w:bCs/>
                <w:color w:val="002060"/>
                <w:kern w:val="2"/>
                <w:sz w:val="32"/>
                <w:szCs w:val="22"/>
              </w:rPr>
              <w:t>第二部分  推动企业业绩突破的关键</w:t>
            </w:r>
          </w:p>
          <w:p w:rsidR="0098526B" w:rsidRDefault="0098526B" w:rsidP="0098526B">
            <w:pPr>
              <w:pStyle w:val="a9"/>
              <w:spacing w:before="0" w:beforeAutospacing="0" w:after="0" w:afterAutospacing="0" w:line="360" w:lineRule="auto"/>
              <w:jc w:val="both"/>
              <w:rPr>
                <w:b/>
                <w:bCs/>
                <w:color w:val="000000"/>
                <w:kern w:val="2"/>
                <w:szCs w:val="32"/>
              </w:rPr>
            </w:pPr>
            <w:r>
              <w:rPr>
                <w:rFonts w:hint="eastAsia"/>
                <w:b/>
                <w:bCs/>
                <w:color w:val="000000"/>
                <w:kern w:val="2"/>
                <w:szCs w:val="32"/>
              </w:rPr>
              <w:t>三、业务结构与经营模式的优化创新</w:t>
            </w:r>
          </w:p>
          <w:p w:rsidR="0098526B" w:rsidRDefault="0098526B" w:rsidP="0098526B">
            <w:pPr>
              <w:pStyle w:val="a9"/>
              <w:spacing w:before="0" w:beforeAutospacing="0" w:after="0" w:afterAutospacing="0" w:line="360" w:lineRule="auto"/>
              <w:jc w:val="both"/>
              <w:rPr>
                <w:sz w:val="20"/>
              </w:rPr>
            </w:pPr>
            <w:r>
              <w:rPr>
                <w:bCs/>
                <w:color w:val="000000"/>
                <w:kern w:val="2"/>
                <w:sz w:val="21"/>
                <w:szCs w:val="28"/>
              </w:rPr>
              <w:t>1</w:t>
            </w:r>
            <w:r>
              <w:rPr>
                <w:rFonts w:hint="eastAsia"/>
                <w:bCs/>
                <w:color w:val="000000"/>
                <w:kern w:val="2"/>
                <w:sz w:val="21"/>
                <w:szCs w:val="28"/>
              </w:rPr>
              <w:t>、分析业务结构的步骤和方法</w:t>
            </w:r>
          </w:p>
          <w:p w:rsidR="0098526B" w:rsidRDefault="0098526B" w:rsidP="0098526B">
            <w:pPr>
              <w:pStyle w:val="a9"/>
              <w:spacing w:before="0" w:beforeAutospacing="0" w:after="0" w:afterAutospacing="0" w:line="360" w:lineRule="auto"/>
              <w:jc w:val="both"/>
              <w:rPr>
                <w:sz w:val="20"/>
              </w:rPr>
            </w:pPr>
            <w:r>
              <w:rPr>
                <w:rFonts w:hint="eastAsia"/>
                <w:bCs/>
                <w:i/>
                <w:iCs/>
                <w:color w:val="C0504D"/>
                <w:kern w:val="2"/>
                <w:sz w:val="21"/>
                <w:szCs w:val="28"/>
              </w:rPr>
              <w:t>案例分析：一个百货集团的业务优化</w:t>
            </w:r>
          </w:p>
          <w:p w:rsidR="0098526B" w:rsidRDefault="0098526B" w:rsidP="0098526B">
            <w:pPr>
              <w:pStyle w:val="a9"/>
              <w:spacing w:before="0" w:beforeAutospacing="0" w:after="0" w:afterAutospacing="0" w:line="360" w:lineRule="auto"/>
              <w:jc w:val="both"/>
              <w:rPr>
                <w:sz w:val="20"/>
              </w:rPr>
            </w:pPr>
            <w:r>
              <w:rPr>
                <w:bCs/>
                <w:color w:val="000000"/>
                <w:kern w:val="2"/>
                <w:sz w:val="21"/>
                <w:szCs w:val="28"/>
              </w:rPr>
              <w:t>2</w:t>
            </w:r>
            <w:r>
              <w:rPr>
                <w:rFonts w:hint="eastAsia"/>
                <w:bCs/>
                <w:color w:val="000000"/>
                <w:kern w:val="2"/>
                <w:sz w:val="21"/>
                <w:szCs w:val="28"/>
              </w:rPr>
              <w:t>、打造企业“体系化运营的能力”</w:t>
            </w:r>
          </w:p>
          <w:p w:rsidR="0098526B" w:rsidRDefault="0098526B" w:rsidP="0098526B">
            <w:pPr>
              <w:pStyle w:val="a9"/>
              <w:spacing w:before="0" w:beforeAutospacing="0" w:after="0" w:afterAutospacing="0" w:line="360" w:lineRule="auto"/>
              <w:jc w:val="both"/>
              <w:rPr>
                <w:b/>
                <w:bCs/>
                <w:color w:val="000000"/>
                <w:kern w:val="2"/>
                <w:szCs w:val="32"/>
              </w:rPr>
            </w:pPr>
            <w:r>
              <w:rPr>
                <w:rFonts w:hint="eastAsia"/>
                <w:b/>
                <w:bCs/>
                <w:color w:val="000000"/>
                <w:kern w:val="2"/>
                <w:szCs w:val="32"/>
              </w:rPr>
              <w:t>四、组织机构与流程管控的创新</w:t>
            </w:r>
          </w:p>
          <w:p w:rsidR="0098526B" w:rsidRDefault="0098526B" w:rsidP="0098526B">
            <w:pPr>
              <w:pStyle w:val="a9"/>
              <w:spacing w:before="0" w:beforeAutospacing="0" w:after="0" w:afterAutospacing="0" w:line="360" w:lineRule="auto"/>
              <w:jc w:val="both"/>
              <w:rPr>
                <w:sz w:val="20"/>
              </w:rPr>
            </w:pPr>
            <w:r>
              <w:rPr>
                <w:bCs/>
                <w:color w:val="000000"/>
                <w:kern w:val="2"/>
                <w:sz w:val="21"/>
                <w:szCs w:val="28"/>
              </w:rPr>
              <w:t>1</w:t>
            </w:r>
            <w:r>
              <w:rPr>
                <w:rFonts w:hint="eastAsia"/>
                <w:bCs/>
                <w:color w:val="000000"/>
                <w:kern w:val="2"/>
                <w:sz w:val="21"/>
                <w:szCs w:val="28"/>
              </w:rPr>
              <w:t>、打造“小公司、大业务”的高效组织</w:t>
            </w:r>
          </w:p>
          <w:p w:rsidR="0098526B" w:rsidRDefault="0098526B" w:rsidP="0098526B">
            <w:pPr>
              <w:pStyle w:val="a9"/>
              <w:spacing w:before="0" w:beforeAutospacing="0" w:after="0" w:afterAutospacing="0" w:line="360" w:lineRule="auto"/>
              <w:jc w:val="both"/>
              <w:rPr>
                <w:sz w:val="20"/>
              </w:rPr>
            </w:pPr>
            <w:r>
              <w:rPr>
                <w:bCs/>
                <w:color w:val="000000"/>
                <w:kern w:val="2"/>
                <w:sz w:val="21"/>
                <w:szCs w:val="28"/>
              </w:rPr>
              <w:t>2</w:t>
            </w:r>
            <w:r>
              <w:rPr>
                <w:rFonts w:hint="eastAsia"/>
                <w:bCs/>
                <w:color w:val="000000"/>
                <w:kern w:val="2"/>
                <w:sz w:val="21"/>
                <w:szCs w:val="28"/>
              </w:rPr>
              <w:t>、建构全方位“内部客户”协同管控体系</w:t>
            </w:r>
          </w:p>
          <w:p w:rsidR="0098526B" w:rsidRDefault="0098526B" w:rsidP="0098526B">
            <w:pPr>
              <w:pStyle w:val="a9"/>
              <w:spacing w:before="0" w:beforeAutospacing="0" w:after="0" w:afterAutospacing="0" w:line="360" w:lineRule="auto"/>
              <w:jc w:val="both"/>
              <w:rPr>
                <w:sz w:val="20"/>
              </w:rPr>
            </w:pPr>
            <w:r>
              <w:rPr>
                <w:bCs/>
                <w:color w:val="000000"/>
                <w:kern w:val="2"/>
                <w:sz w:val="21"/>
                <w:szCs w:val="28"/>
              </w:rPr>
              <w:t>3</w:t>
            </w:r>
            <w:r>
              <w:rPr>
                <w:rFonts w:hint="eastAsia"/>
                <w:bCs/>
                <w:color w:val="000000"/>
                <w:kern w:val="2"/>
                <w:sz w:val="21"/>
                <w:szCs w:val="28"/>
              </w:rPr>
              <w:t>、业务与管理重点下移：向下倒逼激发活力</w:t>
            </w:r>
          </w:p>
          <w:p w:rsidR="0098526B" w:rsidRDefault="0098526B" w:rsidP="0098526B">
            <w:pPr>
              <w:pStyle w:val="a9"/>
              <w:spacing w:before="0" w:beforeAutospacing="0" w:after="0" w:afterAutospacing="0" w:line="360" w:lineRule="auto"/>
              <w:jc w:val="both"/>
              <w:rPr>
                <w:b/>
                <w:bCs/>
                <w:color w:val="000000"/>
                <w:kern w:val="2"/>
                <w:szCs w:val="32"/>
              </w:rPr>
            </w:pPr>
            <w:r>
              <w:rPr>
                <w:rFonts w:hint="eastAsia"/>
                <w:b/>
                <w:bCs/>
                <w:color w:val="000000"/>
                <w:kern w:val="2"/>
                <w:szCs w:val="32"/>
              </w:rPr>
              <w:lastRenderedPageBreak/>
              <w:t>五、企业业绩突破的激励驱动机制</w:t>
            </w:r>
          </w:p>
          <w:p w:rsidR="0098526B" w:rsidRDefault="0098526B" w:rsidP="0098526B">
            <w:pPr>
              <w:pStyle w:val="a9"/>
              <w:spacing w:before="0" w:beforeAutospacing="0" w:after="0" w:afterAutospacing="0" w:line="360" w:lineRule="auto"/>
              <w:jc w:val="both"/>
              <w:rPr>
                <w:sz w:val="21"/>
              </w:rPr>
            </w:pPr>
            <w:r>
              <w:rPr>
                <w:bCs/>
                <w:color w:val="000000"/>
                <w:kern w:val="2"/>
                <w:sz w:val="22"/>
                <w:szCs w:val="28"/>
              </w:rPr>
              <w:t>1</w:t>
            </w:r>
            <w:r>
              <w:rPr>
                <w:rFonts w:hint="eastAsia"/>
                <w:bCs/>
                <w:color w:val="000000"/>
                <w:kern w:val="2"/>
                <w:sz w:val="22"/>
                <w:szCs w:val="28"/>
              </w:rPr>
              <w:t>、提成与奖金机制的优化：不做钱多人傻的老板</w:t>
            </w:r>
          </w:p>
          <w:p w:rsidR="0098526B" w:rsidRDefault="0098526B" w:rsidP="0098526B">
            <w:pPr>
              <w:pStyle w:val="a9"/>
              <w:spacing w:before="0" w:beforeAutospacing="0" w:after="0" w:afterAutospacing="0" w:line="360" w:lineRule="auto"/>
              <w:jc w:val="both"/>
              <w:rPr>
                <w:sz w:val="21"/>
              </w:rPr>
            </w:pPr>
            <w:r>
              <w:rPr>
                <w:bCs/>
                <w:color w:val="000000"/>
                <w:kern w:val="2"/>
                <w:sz w:val="22"/>
                <w:szCs w:val="28"/>
              </w:rPr>
              <w:t>2</w:t>
            </w:r>
            <w:r>
              <w:rPr>
                <w:rFonts w:hint="eastAsia"/>
                <w:bCs/>
                <w:color w:val="000000"/>
                <w:kern w:val="2"/>
                <w:sz w:val="22"/>
                <w:szCs w:val="28"/>
              </w:rPr>
              <w:t>、如何突破激励不足与养懒人的困境</w:t>
            </w:r>
          </w:p>
          <w:p w:rsidR="0098526B" w:rsidRDefault="0098526B" w:rsidP="0098526B">
            <w:pPr>
              <w:pStyle w:val="a9"/>
              <w:spacing w:before="0" w:beforeAutospacing="0" w:after="0" w:afterAutospacing="0" w:line="360" w:lineRule="auto"/>
              <w:jc w:val="both"/>
              <w:rPr>
                <w:sz w:val="21"/>
              </w:rPr>
            </w:pPr>
            <w:r>
              <w:rPr>
                <w:bCs/>
                <w:color w:val="000000"/>
                <w:kern w:val="2"/>
                <w:sz w:val="22"/>
                <w:szCs w:val="28"/>
              </w:rPr>
              <w:t>3</w:t>
            </w:r>
            <w:r>
              <w:rPr>
                <w:rFonts w:hint="eastAsia"/>
                <w:bCs/>
                <w:color w:val="000000"/>
                <w:kern w:val="2"/>
                <w:sz w:val="22"/>
                <w:szCs w:val="28"/>
              </w:rPr>
              <w:t>、提升企业团队战斗力的六大关键</w:t>
            </w:r>
          </w:p>
          <w:p w:rsidR="0098526B" w:rsidRDefault="0098526B" w:rsidP="0098526B">
            <w:pPr>
              <w:pStyle w:val="a9"/>
              <w:spacing w:before="0" w:beforeAutospacing="0" w:after="0" w:afterAutospacing="0" w:line="360" w:lineRule="auto"/>
              <w:jc w:val="both"/>
              <w:rPr>
                <w:rFonts w:ascii="方正大标宋简体" w:eastAsia="方正大标宋简体" w:hAnsi="微软雅黑" w:cs="Arial"/>
                <w:b/>
                <w:bCs/>
                <w:color w:val="002060"/>
                <w:sz w:val="40"/>
              </w:rPr>
            </w:pPr>
            <w:r>
              <w:rPr>
                <w:bCs/>
                <w:color w:val="000000"/>
                <w:kern w:val="2"/>
                <w:sz w:val="22"/>
                <w:szCs w:val="28"/>
              </w:rPr>
              <w:t>4</w:t>
            </w:r>
            <w:r>
              <w:rPr>
                <w:rFonts w:hint="eastAsia"/>
                <w:bCs/>
                <w:color w:val="000000"/>
                <w:kern w:val="2"/>
                <w:sz w:val="22"/>
                <w:szCs w:val="28"/>
              </w:rPr>
              <w:t>、形成团队你追我赶氛围的四大要诀</w:t>
            </w:r>
          </w:p>
          <w:p w:rsidR="0098526B" w:rsidRPr="00634C6E" w:rsidRDefault="0098526B" w:rsidP="0098526B">
            <w:pPr>
              <w:widowControl/>
              <w:ind w:left="4" w:firstLineChars="197" w:firstLine="394"/>
              <w:rPr>
                <w:rFonts w:ascii="宋体" w:hAnsi="宋体"/>
                <w:b/>
                <w:i/>
                <w:color w:val="FF0000"/>
                <w:kern w:val="0"/>
                <w:sz w:val="20"/>
                <w:szCs w:val="24"/>
              </w:rPr>
            </w:pPr>
            <w:r w:rsidRPr="00634C6E">
              <w:rPr>
                <w:rFonts w:ascii="宋体" w:hAnsi="宋体" w:hint="eastAsia"/>
                <w:i/>
                <w:color w:val="C00000"/>
                <w:kern w:val="0"/>
                <w:sz w:val="20"/>
                <w:szCs w:val="24"/>
              </w:rPr>
              <w:t>——案例分享：《绩效改进计划表》</w:t>
            </w:r>
          </w:p>
          <w:p w:rsidR="0098526B" w:rsidRPr="0098526B" w:rsidRDefault="0098526B" w:rsidP="0098526B">
            <w:pPr>
              <w:rPr>
                <w:rFonts w:hint="eastAsia"/>
              </w:rPr>
            </w:pPr>
            <w:r>
              <w:rPr>
                <w:rFonts w:hint="eastAsia"/>
              </w:rPr>
              <w:t xml:space="preserve"> </w:t>
            </w:r>
            <w:r>
              <w:t xml:space="preserve">   </w:t>
            </w:r>
            <w:r>
              <w:rPr>
                <w:b/>
              </w:rPr>
              <w:t>答疑</w:t>
            </w:r>
            <w:r>
              <w:rPr>
                <w:rFonts w:hint="eastAsia"/>
                <w:b/>
              </w:rPr>
              <w:t>分享</w:t>
            </w:r>
            <w:r>
              <w:rPr>
                <w:b/>
              </w:rPr>
              <w:t>与交流</w:t>
            </w:r>
          </w:p>
        </w:tc>
      </w:tr>
    </w:tbl>
    <w:p w:rsidR="0098526B" w:rsidRDefault="0098526B" w:rsidP="0098526B">
      <w:pPr>
        <w:adjustRightInd w:val="0"/>
        <w:snapToGrid w:val="0"/>
        <w:spacing w:line="276" w:lineRule="auto"/>
        <w:rPr>
          <w:rFonts w:ascii="仿宋_GB2312" w:eastAsia="仿宋_GB2312" w:hAnsi="仿宋_GB2312" w:cs="仿宋_GB2312"/>
          <w:sz w:val="24"/>
          <w:szCs w:val="32"/>
        </w:rPr>
      </w:pPr>
    </w:p>
    <w:p w:rsidR="0098526B" w:rsidRPr="00634C6E" w:rsidRDefault="0098526B" w:rsidP="0098526B">
      <w:pPr>
        <w:numPr>
          <w:ilvl w:val="0"/>
          <w:numId w:val="2"/>
        </w:numPr>
        <w:rPr>
          <w:rFonts w:hint="eastAsia"/>
          <w:b/>
          <w:sz w:val="32"/>
          <w:szCs w:val="32"/>
        </w:rPr>
      </w:pPr>
      <w:r w:rsidRPr="00634C6E">
        <w:rPr>
          <w:rFonts w:hint="eastAsia"/>
          <w:b/>
          <w:sz w:val="32"/>
          <w:szCs w:val="32"/>
        </w:rPr>
        <w:t>讲师介绍：</w:t>
      </w:r>
      <w:r w:rsidRPr="00634C6E">
        <w:rPr>
          <w:rFonts w:ascii="华文中宋" w:eastAsia="华文中宋" w:hAnsi="华文中宋" w:cs="仿宋_GB2312" w:hint="eastAsia"/>
          <w:b/>
          <w:color w:val="002060"/>
          <w:sz w:val="32"/>
          <w:szCs w:val="32"/>
        </w:rPr>
        <w:t xml:space="preserve"> </w:t>
      </w:r>
    </w:p>
    <w:p w:rsidR="0098526B" w:rsidRDefault="0098526B" w:rsidP="0098526B">
      <w:pPr>
        <w:pStyle w:val="a7"/>
        <w:adjustRightInd w:val="0"/>
        <w:snapToGrid w:val="0"/>
        <w:spacing w:line="560" w:lineRule="exact"/>
        <w:ind w:left="420" w:firstLineChars="0" w:firstLine="0"/>
        <w:rPr>
          <w:rFonts w:ascii="华文中宋" w:eastAsia="华文中宋" w:hAnsi="华文中宋" w:cs="仿宋_GB2312"/>
          <w:b/>
          <w:color w:val="002060"/>
          <w:sz w:val="36"/>
          <w:szCs w:val="32"/>
        </w:rPr>
      </w:pPr>
      <w:r>
        <w:rPr>
          <w:rFonts w:ascii="华文中宋" w:eastAsia="华文中宋" w:hAnsi="华文中宋" w:cs="仿宋_GB2312" w:hint="eastAsia"/>
          <w:b/>
          <w:color w:val="002060"/>
          <w:sz w:val="36"/>
          <w:szCs w:val="32"/>
        </w:rPr>
        <w:t>彭荣模老师</w:t>
      </w:r>
    </w:p>
    <w:p w:rsidR="0098526B" w:rsidRDefault="0098526B" w:rsidP="0098526B">
      <w:pPr>
        <w:numPr>
          <w:ilvl w:val="0"/>
          <w:numId w:val="3"/>
        </w:numPr>
        <w:adjustRightInd w:val="0"/>
        <w:snapToGrid w:val="0"/>
        <w:spacing w:line="276" w:lineRule="auto"/>
        <w:rPr>
          <w:rFonts w:ascii="仿宋_GB2312" w:eastAsia="仿宋_GB2312" w:hAnsi="仿宋_GB2312" w:cs="仿宋_GB2312"/>
          <w:sz w:val="24"/>
          <w:szCs w:val="32"/>
        </w:rPr>
      </w:pPr>
      <w:r>
        <w:rPr>
          <w:rFonts w:ascii="仿宋_GB2312" w:eastAsia="仿宋_GB2312" w:hAnsi="仿宋_GB2312" w:cs="仿宋_GB2312" w:hint="eastAsia"/>
          <w:sz w:val="24"/>
          <w:szCs w:val="32"/>
        </w:rPr>
        <w:t>东方大成管理咨询公司首席咨询专家、培训导师；</w:t>
      </w:r>
    </w:p>
    <w:p w:rsidR="0098526B" w:rsidRDefault="0098526B" w:rsidP="0098526B">
      <w:pPr>
        <w:numPr>
          <w:ilvl w:val="0"/>
          <w:numId w:val="3"/>
        </w:numPr>
        <w:adjustRightInd w:val="0"/>
        <w:snapToGrid w:val="0"/>
        <w:spacing w:line="276" w:lineRule="auto"/>
        <w:rPr>
          <w:rFonts w:ascii="仿宋_GB2312" w:eastAsia="仿宋_GB2312" w:hAnsi="仿宋_GB2312" w:cs="仿宋_GB2312"/>
          <w:sz w:val="24"/>
          <w:szCs w:val="32"/>
        </w:rPr>
      </w:pPr>
      <w:r>
        <w:rPr>
          <w:rFonts w:ascii="仿宋_GB2312" w:eastAsia="仿宋_GB2312" w:hAnsi="仿宋_GB2312" w:cs="仿宋_GB2312" w:hint="eastAsia"/>
          <w:sz w:val="24"/>
          <w:szCs w:val="32"/>
        </w:rPr>
        <w:t>北京大学MBA；中国资深人力资源实战专家；</w:t>
      </w:r>
    </w:p>
    <w:p w:rsidR="0098526B" w:rsidRDefault="0098526B" w:rsidP="0098526B">
      <w:pPr>
        <w:numPr>
          <w:ilvl w:val="0"/>
          <w:numId w:val="3"/>
        </w:numPr>
        <w:adjustRightInd w:val="0"/>
        <w:snapToGrid w:val="0"/>
        <w:spacing w:line="276" w:lineRule="auto"/>
        <w:jc w:val="left"/>
        <w:rPr>
          <w:rFonts w:ascii="仿宋_GB2312" w:eastAsia="仿宋_GB2312" w:hAnsi="仿宋_GB2312" w:cs="仿宋_GB2312"/>
          <w:sz w:val="24"/>
          <w:szCs w:val="32"/>
        </w:rPr>
      </w:pPr>
      <w:r>
        <w:rPr>
          <w:rFonts w:ascii="仿宋_GB2312" w:eastAsia="仿宋_GB2312" w:hAnsi="仿宋_GB2312" w:cs="仿宋_GB2312" w:hint="eastAsia"/>
          <w:sz w:val="24"/>
          <w:szCs w:val="32"/>
        </w:rPr>
        <w:t>2005年至2008年度连续四届中国十佳人力资源培训师；</w:t>
      </w:r>
    </w:p>
    <w:p w:rsidR="0098526B" w:rsidRDefault="0098526B" w:rsidP="0098526B">
      <w:pPr>
        <w:numPr>
          <w:ilvl w:val="0"/>
          <w:numId w:val="3"/>
        </w:numPr>
        <w:adjustRightInd w:val="0"/>
        <w:snapToGrid w:val="0"/>
        <w:spacing w:line="276" w:lineRule="auto"/>
        <w:rPr>
          <w:rFonts w:ascii="仿宋_GB2312" w:eastAsia="仿宋_GB2312" w:hAnsi="仿宋_GB2312" w:cs="仿宋_GB2312"/>
          <w:sz w:val="24"/>
          <w:szCs w:val="32"/>
        </w:rPr>
      </w:pPr>
      <w:r>
        <w:rPr>
          <w:rFonts w:ascii="仿宋_GB2312" w:eastAsia="仿宋_GB2312" w:hAnsi="仿宋_GB2312" w:cs="仿宋_GB2312" w:hint="eastAsia"/>
          <w:sz w:val="24"/>
          <w:szCs w:val="32"/>
        </w:rPr>
        <w:t>2007年获得中国影响力杰出贡献讲师奖；</w:t>
      </w:r>
    </w:p>
    <w:p w:rsidR="0098526B" w:rsidRDefault="0098526B" w:rsidP="0098526B">
      <w:pPr>
        <w:numPr>
          <w:ilvl w:val="0"/>
          <w:numId w:val="3"/>
        </w:numPr>
        <w:adjustRightInd w:val="0"/>
        <w:snapToGrid w:val="0"/>
        <w:spacing w:line="276" w:lineRule="auto"/>
        <w:rPr>
          <w:rFonts w:ascii="仿宋_GB2312" w:eastAsia="仿宋_GB2312" w:hAnsi="仿宋_GB2312" w:cs="仿宋_GB2312"/>
          <w:sz w:val="24"/>
          <w:szCs w:val="32"/>
        </w:rPr>
      </w:pPr>
      <w:r>
        <w:rPr>
          <w:rFonts w:ascii="仿宋_GB2312" w:eastAsia="仿宋_GB2312" w:hAnsi="仿宋_GB2312" w:cs="仿宋_GB2312" w:hint="eastAsia"/>
          <w:sz w:val="24"/>
          <w:szCs w:val="32"/>
        </w:rPr>
        <w:t>广东省全国名牌评审组“优秀评审专家”；</w:t>
      </w:r>
    </w:p>
    <w:p w:rsidR="0098526B" w:rsidRDefault="0098526B" w:rsidP="0098526B">
      <w:pPr>
        <w:numPr>
          <w:ilvl w:val="0"/>
          <w:numId w:val="3"/>
        </w:numPr>
        <w:adjustRightInd w:val="0"/>
        <w:snapToGrid w:val="0"/>
        <w:spacing w:line="276" w:lineRule="auto"/>
        <w:rPr>
          <w:rFonts w:ascii="仿宋_GB2312" w:eastAsia="仿宋_GB2312" w:hAnsi="仿宋_GB2312" w:cs="仿宋_GB2312"/>
          <w:sz w:val="24"/>
          <w:szCs w:val="32"/>
        </w:rPr>
      </w:pPr>
      <w:r>
        <w:rPr>
          <w:rFonts w:ascii="仿宋_GB2312" w:eastAsia="仿宋_GB2312" w:hAnsi="仿宋_GB2312" w:cs="仿宋_GB2312"/>
          <w:sz w:val="24"/>
          <w:szCs w:val="32"/>
        </w:rPr>
        <w:t>2</w:t>
      </w:r>
      <w:r>
        <w:rPr>
          <w:rFonts w:ascii="仿宋_GB2312" w:eastAsia="仿宋_GB2312" w:hAnsi="仿宋_GB2312" w:cs="仿宋_GB2312" w:hint="eastAsia"/>
          <w:sz w:val="24"/>
          <w:szCs w:val="32"/>
        </w:rPr>
        <w:t>9年国内人力资源本土化研究与咨询实战经验；</w:t>
      </w:r>
    </w:p>
    <w:p w:rsidR="0098526B" w:rsidRDefault="0098526B" w:rsidP="0098526B">
      <w:pPr>
        <w:numPr>
          <w:ilvl w:val="0"/>
          <w:numId w:val="3"/>
        </w:numPr>
        <w:adjustRightInd w:val="0"/>
        <w:snapToGrid w:val="0"/>
        <w:spacing w:line="276" w:lineRule="auto"/>
        <w:rPr>
          <w:rFonts w:ascii="仿宋_GB2312" w:eastAsia="仿宋_GB2312" w:hAnsi="仿宋_GB2312" w:cs="仿宋_GB2312"/>
          <w:sz w:val="24"/>
          <w:szCs w:val="32"/>
        </w:rPr>
      </w:pPr>
      <w:r>
        <w:rPr>
          <w:rFonts w:ascii="仿宋_GB2312" w:eastAsia="仿宋_GB2312" w:hAnsi="仿宋_GB2312" w:cs="仿宋_GB2312" w:hint="eastAsia"/>
          <w:sz w:val="24"/>
          <w:szCs w:val="32"/>
        </w:rPr>
        <w:t>PTT国际职业培训师、美国PDP人才测评总部专业分析师；</w:t>
      </w:r>
    </w:p>
    <w:p w:rsidR="0098526B" w:rsidRDefault="0098526B" w:rsidP="0098526B">
      <w:pPr>
        <w:numPr>
          <w:ilvl w:val="0"/>
          <w:numId w:val="3"/>
        </w:numPr>
        <w:adjustRightInd w:val="0"/>
        <w:snapToGrid w:val="0"/>
        <w:spacing w:line="276" w:lineRule="auto"/>
        <w:rPr>
          <w:rFonts w:ascii="仿宋_GB2312" w:eastAsia="仿宋_GB2312" w:hAnsi="仿宋_GB2312" w:cs="仿宋_GB2312"/>
          <w:sz w:val="24"/>
          <w:szCs w:val="32"/>
        </w:rPr>
      </w:pPr>
      <w:r>
        <w:rPr>
          <w:rFonts w:ascii="仿宋_GB2312" w:eastAsia="仿宋_GB2312" w:hAnsi="仿宋_GB2312" w:cs="仿宋_GB2312" w:hint="eastAsia"/>
          <w:sz w:val="24"/>
          <w:szCs w:val="32"/>
        </w:rPr>
        <w:t>清华大学、南京大学、湖南大学、华中科技大学、时代光华等多家高校与知名机构特聘专家导师；</w:t>
      </w:r>
    </w:p>
    <w:p w:rsidR="00F5612D" w:rsidRPr="0098526B" w:rsidRDefault="0098526B" w:rsidP="0098526B">
      <w:pPr>
        <w:numPr>
          <w:ilvl w:val="0"/>
          <w:numId w:val="3"/>
        </w:numPr>
        <w:adjustRightInd w:val="0"/>
        <w:snapToGrid w:val="0"/>
        <w:spacing w:line="276" w:lineRule="auto"/>
        <w:rPr>
          <w:rFonts w:ascii="仿宋_GB2312" w:eastAsia="仿宋_GB2312" w:hAnsi="仿宋_GB2312" w:cs="仿宋_GB2312"/>
          <w:sz w:val="24"/>
          <w:szCs w:val="32"/>
        </w:rPr>
      </w:pPr>
      <w:r>
        <w:rPr>
          <w:rFonts w:ascii="仿宋_GB2312" w:eastAsia="仿宋_GB2312" w:hAnsi="仿宋_GB2312" w:cs="仿宋_GB2312" w:hint="eastAsia"/>
          <w:sz w:val="24"/>
          <w:szCs w:val="32"/>
        </w:rPr>
        <w:t>二十多年来已成功为全国上千家知名企业和上市集团公司提供过管理咨询、顾问指导和实战培训服务。</w:t>
      </w:r>
    </w:p>
    <w:sectPr w:rsidR="00F5612D" w:rsidRPr="0098526B" w:rsidSect="002F7592">
      <w:headerReference w:type="default" r:id="rId8"/>
      <w:pgSz w:w="11907" w:h="16839"/>
      <w:pgMar w:top="238" w:right="924" w:bottom="873" w:left="1259" w:header="0"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43" w:rsidRDefault="00A57F43" w:rsidP="0098526B">
      <w:r>
        <w:separator/>
      </w:r>
    </w:p>
  </w:endnote>
  <w:endnote w:type="continuationSeparator" w:id="0">
    <w:p w:rsidR="00A57F43" w:rsidRDefault="00A57F43" w:rsidP="0098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康宋体W12(P)">
    <w:altName w:val="Arial Unicode MS"/>
    <w:charset w:val="86"/>
    <w:family w:val="roman"/>
    <w:pitch w:val="default"/>
    <w:sig w:usb0="00000000" w:usb1="00000000" w:usb2="00000012" w:usb3="00000000" w:csb0="00040000" w:csb1="00000000"/>
  </w:font>
  <w:font w:name="方正大标宋简体">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43" w:rsidRDefault="00A57F43" w:rsidP="0098526B">
      <w:r>
        <w:separator/>
      </w:r>
    </w:p>
  </w:footnote>
  <w:footnote w:type="continuationSeparator" w:id="0">
    <w:p w:rsidR="00A57F43" w:rsidRDefault="00A57F43" w:rsidP="00985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E03" w:rsidRDefault="00A57F43" w:rsidP="00634C6E">
    <w:pPr>
      <w:pStyle w:val="a3"/>
      <w:ind w:leftChars="1" w:left="8790" w:hangingChars="4882" w:hanging="8788"/>
    </w:pPr>
    <w:r>
      <w:rPr>
        <w:rFonts w:hint="eastAsia"/>
      </w:rPr>
      <w:t xml:space="preserve">                                         </w:t>
    </w:r>
    <w:r w:rsidR="0098526B">
      <w:rPr>
        <w:noProof/>
      </w:rPr>
      <w:drawing>
        <wp:inline distT="0" distB="0" distL="0" distR="0">
          <wp:extent cx="3810000" cy="733425"/>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AA0"/>
    <w:multiLevelType w:val="multilevel"/>
    <w:tmpl w:val="02522AA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BED3108"/>
    <w:multiLevelType w:val="multilevel"/>
    <w:tmpl w:val="0BED3108"/>
    <w:lvl w:ilvl="0">
      <w:start w:val="1"/>
      <w:numFmt w:val="bullet"/>
      <w:lvlText w:val="◎"/>
      <w:lvlJc w:val="left"/>
      <w:pPr>
        <w:ind w:left="420" w:hanging="420"/>
      </w:pPr>
      <w:rPr>
        <w:rFonts w:ascii="微软雅黑" w:eastAsia="微软雅黑" w:hAnsi="微软雅黑" w:hint="eastAsia"/>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EF71D64"/>
    <w:multiLevelType w:val="multilevel"/>
    <w:tmpl w:val="4EF71D64"/>
    <w:lvl w:ilvl="0">
      <w:start w:val="1"/>
      <w:numFmt w:val="bullet"/>
      <w:lvlText w:val=""/>
      <w:lvlJc w:val="left"/>
      <w:pPr>
        <w:ind w:left="420" w:hanging="420"/>
      </w:pPr>
      <w:rPr>
        <w:rFonts w:ascii="Wingdings" w:hAnsi="Wingdings" w:hint="default"/>
        <w:color w:val="0070C0"/>
        <w:u w:color="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5851CB7"/>
    <w:multiLevelType w:val="multilevel"/>
    <w:tmpl w:val="55851CB7"/>
    <w:lvl w:ilvl="0">
      <w:start w:val="1"/>
      <w:numFmt w:val="bullet"/>
      <w:lvlText w:val=""/>
      <w:lvlJc w:val="left"/>
      <w:pPr>
        <w:ind w:left="641" w:hanging="420"/>
      </w:pPr>
      <w:rPr>
        <w:rFonts w:ascii="Wingdings" w:hAnsi="Wingdings" w:hint="default"/>
      </w:rPr>
    </w:lvl>
    <w:lvl w:ilvl="1">
      <w:start w:val="1"/>
      <w:numFmt w:val="bullet"/>
      <w:lvlText w:val=""/>
      <w:lvlJc w:val="left"/>
      <w:pPr>
        <w:ind w:left="1061" w:hanging="420"/>
      </w:pPr>
      <w:rPr>
        <w:rFonts w:ascii="Wingdings" w:hAnsi="Wingdings" w:hint="default"/>
      </w:rPr>
    </w:lvl>
    <w:lvl w:ilvl="2">
      <w:start w:val="1"/>
      <w:numFmt w:val="bullet"/>
      <w:lvlText w:val=""/>
      <w:lvlJc w:val="left"/>
      <w:pPr>
        <w:ind w:left="1481" w:hanging="420"/>
      </w:pPr>
      <w:rPr>
        <w:rFonts w:ascii="Wingdings" w:hAnsi="Wingdings" w:hint="default"/>
      </w:rPr>
    </w:lvl>
    <w:lvl w:ilvl="3">
      <w:start w:val="1"/>
      <w:numFmt w:val="bullet"/>
      <w:lvlText w:val=""/>
      <w:lvlJc w:val="left"/>
      <w:pPr>
        <w:ind w:left="1901" w:hanging="420"/>
      </w:pPr>
      <w:rPr>
        <w:rFonts w:ascii="Wingdings" w:hAnsi="Wingdings" w:hint="default"/>
      </w:rPr>
    </w:lvl>
    <w:lvl w:ilvl="4">
      <w:start w:val="1"/>
      <w:numFmt w:val="bullet"/>
      <w:lvlText w:val=""/>
      <w:lvlJc w:val="left"/>
      <w:pPr>
        <w:ind w:left="2321" w:hanging="420"/>
      </w:pPr>
      <w:rPr>
        <w:rFonts w:ascii="Wingdings" w:hAnsi="Wingdings" w:hint="default"/>
      </w:rPr>
    </w:lvl>
    <w:lvl w:ilvl="5">
      <w:start w:val="1"/>
      <w:numFmt w:val="bullet"/>
      <w:lvlText w:val=""/>
      <w:lvlJc w:val="left"/>
      <w:pPr>
        <w:ind w:left="2741" w:hanging="420"/>
      </w:pPr>
      <w:rPr>
        <w:rFonts w:ascii="Wingdings" w:hAnsi="Wingdings" w:hint="default"/>
      </w:rPr>
    </w:lvl>
    <w:lvl w:ilvl="6">
      <w:start w:val="1"/>
      <w:numFmt w:val="bullet"/>
      <w:lvlText w:val=""/>
      <w:lvlJc w:val="left"/>
      <w:pPr>
        <w:ind w:left="3161" w:hanging="420"/>
      </w:pPr>
      <w:rPr>
        <w:rFonts w:ascii="Wingdings" w:hAnsi="Wingdings" w:hint="default"/>
      </w:rPr>
    </w:lvl>
    <w:lvl w:ilvl="7">
      <w:start w:val="1"/>
      <w:numFmt w:val="bullet"/>
      <w:lvlText w:val=""/>
      <w:lvlJc w:val="left"/>
      <w:pPr>
        <w:ind w:left="3581" w:hanging="420"/>
      </w:pPr>
      <w:rPr>
        <w:rFonts w:ascii="Wingdings" w:hAnsi="Wingdings" w:hint="default"/>
      </w:rPr>
    </w:lvl>
    <w:lvl w:ilvl="8">
      <w:start w:val="1"/>
      <w:numFmt w:val="bullet"/>
      <w:lvlText w:val=""/>
      <w:lvlJc w:val="left"/>
      <w:pPr>
        <w:ind w:left="4001"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21"/>
    <w:rsid w:val="00494521"/>
    <w:rsid w:val="0098526B"/>
    <w:rsid w:val="00A57F43"/>
    <w:rsid w:val="00F5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85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26B"/>
    <w:rPr>
      <w:sz w:val="18"/>
      <w:szCs w:val="18"/>
    </w:rPr>
  </w:style>
  <w:style w:type="paragraph" w:styleId="a4">
    <w:name w:val="footer"/>
    <w:basedOn w:val="a"/>
    <w:link w:val="Char0"/>
    <w:uiPriority w:val="99"/>
    <w:unhideWhenUsed/>
    <w:rsid w:val="0098526B"/>
    <w:pPr>
      <w:tabs>
        <w:tab w:val="center" w:pos="4153"/>
        <w:tab w:val="right" w:pos="8306"/>
      </w:tabs>
      <w:snapToGrid w:val="0"/>
      <w:jc w:val="left"/>
    </w:pPr>
    <w:rPr>
      <w:sz w:val="18"/>
      <w:szCs w:val="18"/>
    </w:rPr>
  </w:style>
  <w:style w:type="character" w:customStyle="1" w:styleId="Char0">
    <w:name w:val="页脚 Char"/>
    <w:basedOn w:val="a0"/>
    <w:link w:val="a4"/>
    <w:uiPriority w:val="99"/>
    <w:rsid w:val="0098526B"/>
    <w:rPr>
      <w:sz w:val="18"/>
      <w:szCs w:val="18"/>
    </w:rPr>
  </w:style>
  <w:style w:type="character" w:customStyle="1" w:styleId="a5">
    <w:name w:val="页眉 字符"/>
    <w:uiPriority w:val="99"/>
    <w:semiHidden/>
    <w:qFormat/>
    <w:locked/>
    <w:rsid w:val="0098526B"/>
    <w:rPr>
      <w:rFonts w:cs="Times New Roman"/>
      <w:sz w:val="18"/>
      <w:szCs w:val="18"/>
    </w:rPr>
  </w:style>
  <w:style w:type="character" w:styleId="a6">
    <w:name w:val="Hyperlink"/>
    <w:unhideWhenUsed/>
    <w:qFormat/>
    <w:rsid w:val="0098526B"/>
    <w:rPr>
      <w:color w:val="0000FF"/>
      <w:u w:val="single"/>
    </w:rPr>
  </w:style>
  <w:style w:type="paragraph" w:styleId="a7">
    <w:basedOn w:val="a"/>
    <w:next w:val="a8"/>
    <w:qFormat/>
    <w:rsid w:val="0098526B"/>
    <w:pPr>
      <w:ind w:firstLineChars="200" w:firstLine="420"/>
    </w:pPr>
  </w:style>
  <w:style w:type="paragraph" w:styleId="a9">
    <w:name w:val="Normal (Web)"/>
    <w:basedOn w:val="a"/>
    <w:uiPriority w:val="99"/>
    <w:qFormat/>
    <w:rsid w:val="0098526B"/>
    <w:pPr>
      <w:widowControl/>
      <w:spacing w:before="100" w:beforeAutospacing="1" w:after="100" w:afterAutospacing="1"/>
      <w:jc w:val="left"/>
    </w:pPr>
    <w:rPr>
      <w:rFonts w:ascii="宋体" w:hAnsi="宋体"/>
      <w:kern w:val="0"/>
      <w:sz w:val="24"/>
      <w:szCs w:val="24"/>
    </w:rPr>
  </w:style>
  <w:style w:type="paragraph" w:styleId="aa">
    <w:name w:val="Body Text Indent"/>
    <w:basedOn w:val="a"/>
    <w:link w:val="Char1"/>
    <w:uiPriority w:val="99"/>
    <w:semiHidden/>
    <w:unhideWhenUsed/>
    <w:rsid w:val="0098526B"/>
    <w:pPr>
      <w:spacing w:after="120"/>
      <w:ind w:leftChars="200" w:left="420"/>
    </w:pPr>
  </w:style>
  <w:style w:type="character" w:customStyle="1" w:styleId="Char1">
    <w:name w:val="正文文本缩进 Char"/>
    <w:basedOn w:val="a0"/>
    <w:link w:val="aa"/>
    <w:uiPriority w:val="99"/>
    <w:semiHidden/>
    <w:rsid w:val="0098526B"/>
    <w:rPr>
      <w:rFonts w:ascii="Calibri" w:eastAsia="宋体" w:hAnsi="Calibri" w:cs="Times New Roman"/>
    </w:rPr>
  </w:style>
  <w:style w:type="paragraph" w:styleId="2">
    <w:name w:val="Body Text First Indent 2"/>
    <w:basedOn w:val="aa"/>
    <w:link w:val="2Char"/>
    <w:semiHidden/>
    <w:unhideWhenUsed/>
    <w:rsid w:val="0098526B"/>
    <w:pPr>
      <w:ind w:firstLineChars="200" w:firstLine="420"/>
    </w:pPr>
  </w:style>
  <w:style w:type="character" w:customStyle="1" w:styleId="2Char">
    <w:name w:val="正文首行缩进 2 Char"/>
    <w:basedOn w:val="Char1"/>
    <w:link w:val="2"/>
    <w:semiHidden/>
    <w:rsid w:val="0098526B"/>
    <w:rPr>
      <w:rFonts w:ascii="Calibri" w:eastAsia="宋体" w:hAnsi="Calibri" w:cs="Times New Roman"/>
    </w:rPr>
  </w:style>
  <w:style w:type="paragraph" w:styleId="a8">
    <w:name w:val="List Paragraph"/>
    <w:basedOn w:val="a"/>
    <w:uiPriority w:val="34"/>
    <w:qFormat/>
    <w:rsid w:val="0098526B"/>
    <w:pPr>
      <w:ind w:firstLineChars="200" w:firstLine="420"/>
    </w:pPr>
  </w:style>
  <w:style w:type="paragraph" w:styleId="ab">
    <w:name w:val="Balloon Text"/>
    <w:basedOn w:val="a"/>
    <w:link w:val="Char2"/>
    <w:uiPriority w:val="99"/>
    <w:semiHidden/>
    <w:unhideWhenUsed/>
    <w:rsid w:val="0098526B"/>
    <w:rPr>
      <w:sz w:val="18"/>
      <w:szCs w:val="18"/>
    </w:rPr>
  </w:style>
  <w:style w:type="character" w:customStyle="1" w:styleId="Char2">
    <w:name w:val="批注框文本 Char"/>
    <w:basedOn w:val="a0"/>
    <w:link w:val="ab"/>
    <w:uiPriority w:val="99"/>
    <w:semiHidden/>
    <w:rsid w:val="0098526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85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26B"/>
    <w:rPr>
      <w:sz w:val="18"/>
      <w:szCs w:val="18"/>
    </w:rPr>
  </w:style>
  <w:style w:type="paragraph" w:styleId="a4">
    <w:name w:val="footer"/>
    <w:basedOn w:val="a"/>
    <w:link w:val="Char0"/>
    <w:uiPriority w:val="99"/>
    <w:unhideWhenUsed/>
    <w:rsid w:val="0098526B"/>
    <w:pPr>
      <w:tabs>
        <w:tab w:val="center" w:pos="4153"/>
        <w:tab w:val="right" w:pos="8306"/>
      </w:tabs>
      <w:snapToGrid w:val="0"/>
      <w:jc w:val="left"/>
    </w:pPr>
    <w:rPr>
      <w:sz w:val="18"/>
      <w:szCs w:val="18"/>
    </w:rPr>
  </w:style>
  <w:style w:type="character" w:customStyle="1" w:styleId="Char0">
    <w:name w:val="页脚 Char"/>
    <w:basedOn w:val="a0"/>
    <w:link w:val="a4"/>
    <w:uiPriority w:val="99"/>
    <w:rsid w:val="0098526B"/>
    <w:rPr>
      <w:sz w:val="18"/>
      <w:szCs w:val="18"/>
    </w:rPr>
  </w:style>
  <w:style w:type="character" w:customStyle="1" w:styleId="a5">
    <w:name w:val="页眉 字符"/>
    <w:uiPriority w:val="99"/>
    <w:semiHidden/>
    <w:qFormat/>
    <w:locked/>
    <w:rsid w:val="0098526B"/>
    <w:rPr>
      <w:rFonts w:cs="Times New Roman"/>
      <w:sz w:val="18"/>
      <w:szCs w:val="18"/>
    </w:rPr>
  </w:style>
  <w:style w:type="character" w:styleId="a6">
    <w:name w:val="Hyperlink"/>
    <w:unhideWhenUsed/>
    <w:qFormat/>
    <w:rsid w:val="0098526B"/>
    <w:rPr>
      <w:color w:val="0000FF"/>
      <w:u w:val="single"/>
    </w:rPr>
  </w:style>
  <w:style w:type="paragraph" w:styleId="a7">
    <w:basedOn w:val="a"/>
    <w:next w:val="a8"/>
    <w:qFormat/>
    <w:rsid w:val="0098526B"/>
    <w:pPr>
      <w:ind w:firstLineChars="200" w:firstLine="420"/>
    </w:pPr>
  </w:style>
  <w:style w:type="paragraph" w:styleId="a9">
    <w:name w:val="Normal (Web)"/>
    <w:basedOn w:val="a"/>
    <w:uiPriority w:val="99"/>
    <w:qFormat/>
    <w:rsid w:val="0098526B"/>
    <w:pPr>
      <w:widowControl/>
      <w:spacing w:before="100" w:beforeAutospacing="1" w:after="100" w:afterAutospacing="1"/>
      <w:jc w:val="left"/>
    </w:pPr>
    <w:rPr>
      <w:rFonts w:ascii="宋体" w:hAnsi="宋体"/>
      <w:kern w:val="0"/>
      <w:sz w:val="24"/>
      <w:szCs w:val="24"/>
    </w:rPr>
  </w:style>
  <w:style w:type="paragraph" w:styleId="aa">
    <w:name w:val="Body Text Indent"/>
    <w:basedOn w:val="a"/>
    <w:link w:val="Char1"/>
    <w:uiPriority w:val="99"/>
    <w:semiHidden/>
    <w:unhideWhenUsed/>
    <w:rsid w:val="0098526B"/>
    <w:pPr>
      <w:spacing w:after="120"/>
      <w:ind w:leftChars="200" w:left="420"/>
    </w:pPr>
  </w:style>
  <w:style w:type="character" w:customStyle="1" w:styleId="Char1">
    <w:name w:val="正文文本缩进 Char"/>
    <w:basedOn w:val="a0"/>
    <w:link w:val="aa"/>
    <w:uiPriority w:val="99"/>
    <w:semiHidden/>
    <w:rsid w:val="0098526B"/>
    <w:rPr>
      <w:rFonts w:ascii="Calibri" w:eastAsia="宋体" w:hAnsi="Calibri" w:cs="Times New Roman"/>
    </w:rPr>
  </w:style>
  <w:style w:type="paragraph" w:styleId="2">
    <w:name w:val="Body Text First Indent 2"/>
    <w:basedOn w:val="aa"/>
    <w:link w:val="2Char"/>
    <w:semiHidden/>
    <w:unhideWhenUsed/>
    <w:rsid w:val="0098526B"/>
    <w:pPr>
      <w:ind w:firstLineChars="200" w:firstLine="420"/>
    </w:pPr>
  </w:style>
  <w:style w:type="character" w:customStyle="1" w:styleId="2Char">
    <w:name w:val="正文首行缩进 2 Char"/>
    <w:basedOn w:val="Char1"/>
    <w:link w:val="2"/>
    <w:semiHidden/>
    <w:rsid w:val="0098526B"/>
    <w:rPr>
      <w:rFonts w:ascii="Calibri" w:eastAsia="宋体" w:hAnsi="Calibri" w:cs="Times New Roman"/>
    </w:rPr>
  </w:style>
  <w:style w:type="paragraph" w:styleId="a8">
    <w:name w:val="List Paragraph"/>
    <w:basedOn w:val="a"/>
    <w:uiPriority w:val="34"/>
    <w:qFormat/>
    <w:rsid w:val="0098526B"/>
    <w:pPr>
      <w:ind w:firstLineChars="200" w:firstLine="420"/>
    </w:pPr>
  </w:style>
  <w:style w:type="paragraph" w:styleId="ab">
    <w:name w:val="Balloon Text"/>
    <w:basedOn w:val="a"/>
    <w:link w:val="Char2"/>
    <w:uiPriority w:val="99"/>
    <w:semiHidden/>
    <w:unhideWhenUsed/>
    <w:rsid w:val="0098526B"/>
    <w:rPr>
      <w:sz w:val="18"/>
      <w:szCs w:val="18"/>
    </w:rPr>
  </w:style>
  <w:style w:type="character" w:customStyle="1" w:styleId="Char2">
    <w:name w:val="批注框文本 Char"/>
    <w:basedOn w:val="a0"/>
    <w:link w:val="ab"/>
    <w:uiPriority w:val="99"/>
    <w:semiHidden/>
    <w:rsid w:val="0098526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ziqi</dc:creator>
  <cp:keywords/>
  <dc:description/>
  <cp:lastModifiedBy>ziqi</cp:lastModifiedBy>
  <cp:revision>2</cp:revision>
  <dcterms:created xsi:type="dcterms:W3CDTF">2023-03-23T03:31:00Z</dcterms:created>
  <dcterms:modified xsi:type="dcterms:W3CDTF">2023-03-23T03:37:00Z</dcterms:modified>
</cp:coreProperties>
</file>